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numPr>
          <w:ilvl w:val="1"/>
          <w:numId w:val="0"/>
        </w:numPr>
        <w:spacing w:line="360" w:lineRule="auto"/>
        <w:ind w:left="420" w:leftChars="200"/>
        <w:rPr>
          <w:sz w:val="28"/>
          <w:szCs w:val="28"/>
        </w:rPr>
      </w:pPr>
      <w:r>
        <w:rPr>
          <w:rFonts w:hint="eastAsia"/>
          <w:sz w:val="28"/>
          <w:szCs w:val="28"/>
        </w:rPr>
        <w:t>附件</w:t>
      </w:r>
      <w:r>
        <w:rPr>
          <w:rFonts w:hint="eastAsia"/>
          <w:sz w:val="28"/>
          <w:szCs w:val="28"/>
          <w:lang w:val="en-US" w:eastAsia="zh-CN"/>
        </w:rPr>
        <w:t>九</w:t>
      </w:r>
      <w:r>
        <w:rPr>
          <w:rFonts w:hint="eastAsia"/>
          <w:sz w:val="28"/>
          <w:szCs w:val="28"/>
        </w:rPr>
        <w:t>：</w:t>
      </w:r>
    </w:p>
    <w:p>
      <w:pPr>
        <w:pStyle w:val="4"/>
        <w:numPr>
          <w:ilvl w:val="1"/>
          <w:numId w:val="0"/>
        </w:numPr>
        <w:spacing w:line="360" w:lineRule="auto"/>
        <w:ind w:left="420" w:leftChars="200"/>
        <w:jc w:val="center"/>
        <w:rPr>
          <w:rFonts w:hint="eastAsia"/>
          <w:sz w:val="28"/>
          <w:szCs w:val="28"/>
        </w:rPr>
      </w:pPr>
      <w:r>
        <w:rPr>
          <w:rFonts w:hint="eastAsia"/>
          <w:sz w:val="28"/>
          <w:szCs w:val="28"/>
          <w:lang w:val="en-US" w:eastAsia="zh-CN"/>
        </w:rPr>
        <w:t>150米三峡游轮音视频灯光系统报价说明及</w:t>
      </w:r>
      <w:r>
        <w:rPr>
          <w:rFonts w:hint="eastAsia"/>
          <w:sz w:val="28"/>
          <w:szCs w:val="28"/>
        </w:rPr>
        <w:t>施工界面</w:t>
      </w:r>
    </w:p>
    <w:p>
      <w:pPr>
        <w:pStyle w:val="4"/>
        <w:numPr>
          <w:ilvl w:val="1"/>
          <w:numId w:val="0"/>
        </w:numPr>
        <w:spacing w:line="360" w:lineRule="auto"/>
        <w:ind w:left="420" w:leftChars="200"/>
        <w:jc w:val="center"/>
        <w:rPr>
          <w:rFonts w:hint="eastAsia"/>
          <w:sz w:val="28"/>
          <w:szCs w:val="28"/>
        </w:rPr>
      </w:pPr>
    </w:p>
    <w:p>
      <w:pPr>
        <w:pStyle w:val="10"/>
        <w:numPr>
          <w:ilvl w:val="2"/>
          <w:numId w:val="0"/>
        </w:numPr>
        <w:spacing w:line="360" w:lineRule="auto"/>
        <w:ind w:leftChars="200" w:firstLine="482" w:firstLineChars="200"/>
        <w:rPr>
          <w:rFonts w:hint="eastAsia" w:cs="宋体"/>
          <w:b/>
          <w:bCs/>
          <w:snapToGrid/>
          <w:lang w:val="en-US" w:eastAsia="zh-CN"/>
        </w:rPr>
      </w:pPr>
      <w:r>
        <w:rPr>
          <w:rFonts w:hint="eastAsia" w:cs="宋体"/>
          <w:b/>
          <w:bCs/>
          <w:snapToGrid/>
          <w:lang w:val="en-US" w:eastAsia="zh-CN"/>
        </w:rPr>
        <w:t>一、报价说明</w:t>
      </w:r>
    </w:p>
    <w:p>
      <w:pPr>
        <w:pStyle w:val="4"/>
        <w:numPr>
          <w:ilvl w:val="1"/>
          <w:numId w:val="0"/>
        </w:numPr>
        <w:spacing w:line="360" w:lineRule="auto"/>
        <w:ind w:left="420" w:leftChars="0" w:firstLine="480" w:firstLineChars="200"/>
        <w:rPr>
          <w:rFonts w:hint="eastAsia"/>
          <w:b w:val="0"/>
          <w:bCs w:val="0"/>
        </w:rPr>
      </w:pPr>
      <w:r>
        <w:rPr>
          <w:rFonts w:hint="eastAsia" w:cs="宋体"/>
          <w:b w:val="0"/>
          <w:bCs w:val="0"/>
          <w:snapToGrid/>
          <w:lang w:val="en-US" w:eastAsia="zh-CN"/>
        </w:rPr>
        <w:t>1.</w:t>
      </w:r>
      <w:r>
        <w:rPr>
          <w:rFonts w:hint="eastAsia" w:cs="宋体"/>
          <w:b w:val="0"/>
          <w:bCs w:val="0"/>
          <w:snapToGrid/>
        </w:rPr>
        <w:t>本项目为整包工程，</w:t>
      </w:r>
      <w:r>
        <w:rPr>
          <w:rFonts w:hint="eastAsia"/>
          <w:b w:val="0"/>
          <w:bCs w:val="0"/>
        </w:rPr>
        <w:t>包括产品及备件附件</w:t>
      </w:r>
      <w:r>
        <w:rPr>
          <w:rFonts w:hint="eastAsia"/>
          <w:b w:val="0"/>
          <w:bCs w:val="0"/>
          <w:lang w:val="en-US" w:eastAsia="zh-CN"/>
        </w:rPr>
        <w:t>辅材</w:t>
      </w:r>
      <w:r>
        <w:rPr>
          <w:rFonts w:hint="eastAsia"/>
          <w:b w:val="0"/>
          <w:bCs w:val="0"/>
        </w:rPr>
        <w:t>的价款，技术设计费，软件费，专用工具费，包装费，保险费，运输费，搬运装卸费，仓储费，安装费，调试费，质保及售后服务费，税费，</w:t>
      </w:r>
      <w:r>
        <w:rPr>
          <w:rFonts w:hint="eastAsia"/>
          <w:b w:val="0"/>
          <w:bCs w:val="0"/>
          <w:lang w:val="en-US" w:eastAsia="zh-CN"/>
        </w:rPr>
        <w:t>管理费，</w:t>
      </w:r>
      <w:r>
        <w:rPr>
          <w:rFonts w:hint="eastAsia"/>
          <w:b w:val="0"/>
          <w:bCs w:val="0"/>
        </w:rPr>
        <w:t>技术服务费，培训费，专利或技术使用费，检测更换，补救措施等履行本合同的一切费用和合理的利润。所有材料检验及试件试验费均由</w:t>
      </w:r>
      <w:r>
        <w:rPr>
          <w:rFonts w:hint="eastAsia"/>
          <w:b w:val="0"/>
          <w:bCs w:val="0"/>
          <w:lang w:val="en-US" w:eastAsia="zh-CN"/>
        </w:rPr>
        <w:t>供应商</w:t>
      </w:r>
      <w:r>
        <w:rPr>
          <w:rFonts w:hint="eastAsia"/>
          <w:b w:val="0"/>
          <w:bCs w:val="0"/>
        </w:rPr>
        <w:t>自行承担。</w:t>
      </w:r>
    </w:p>
    <w:p>
      <w:pPr>
        <w:pStyle w:val="10"/>
        <w:numPr>
          <w:ilvl w:val="2"/>
          <w:numId w:val="0"/>
        </w:numPr>
        <w:spacing w:line="360" w:lineRule="auto"/>
        <w:ind w:leftChars="200" w:firstLine="480" w:firstLineChars="200"/>
        <w:rPr>
          <w:rFonts w:hint="eastAsia" w:cs="宋体"/>
          <w:b w:val="0"/>
          <w:bCs w:val="0"/>
          <w:snapToGrid/>
        </w:rPr>
      </w:pPr>
      <w:r>
        <w:rPr>
          <w:rFonts w:hint="eastAsia" w:cs="宋体"/>
          <w:b w:val="0"/>
          <w:bCs w:val="0"/>
          <w:snapToGrid/>
          <w:lang w:val="en-US" w:eastAsia="zh-CN"/>
        </w:rPr>
        <w:t>2.</w:t>
      </w:r>
      <w:r>
        <w:rPr>
          <w:rFonts w:hint="eastAsia" w:cs="宋体"/>
          <w:b w:val="0"/>
          <w:bCs w:val="0"/>
          <w:snapToGrid/>
        </w:rPr>
        <w:t>服务内容包括提供协议内的全部设备（及未</w:t>
      </w:r>
      <w:r>
        <w:rPr>
          <w:rFonts w:cs="宋体"/>
          <w:b w:val="0"/>
          <w:bCs w:val="0"/>
          <w:snapToGrid/>
        </w:rPr>
        <w:t>列出，但系统需要</w:t>
      </w:r>
      <w:r>
        <w:rPr>
          <w:rFonts w:hint="eastAsia" w:cs="宋体"/>
          <w:b w:val="0"/>
          <w:bCs w:val="0"/>
          <w:snapToGrid/>
        </w:rPr>
        <w:t>的</w:t>
      </w:r>
      <w:r>
        <w:rPr>
          <w:rFonts w:cs="宋体"/>
          <w:b w:val="0"/>
          <w:bCs w:val="0"/>
          <w:snapToGrid/>
        </w:rPr>
        <w:t>设备</w:t>
      </w:r>
      <w:r>
        <w:rPr>
          <w:rFonts w:hint="eastAsia" w:cs="宋体"/>
          <w:b w:val="0"/>
          <w:bCs w:val="0"/>
          <w:snapToGrid/>
          <w:lang w:val="en-US" w:eastAsia="zh-CN"/>
        </w:rPr>
        <w:t>和附件</w:t>
      </w:r>
      <w:r>
        <w:rPr>
          <w:rFonts w:hint="eastAsia" w:cs="宋体"/>
          <w:b w:val="0"/>
          <w:bCs w:val="0"/>
          <w:snapToGrid/>
        </w:rPr>
        <w:t>）</w:t>
      </w:r>
      <w:r>
        <w:rPr>
          <w:rFonts w:hint="eastAsia" w:cs="宋体"/>
          <w:b w:val="0"/>
          <w:bCs w:val="0"/>
          <w:snapToGrid/>
          <w:lang w:eastAsia="zh-CN"/>
        </w:rPr>
        <w:t>、</w:t>
      </w:r>
      <w:r>
        <w:rPr>
          <w:rFonts w:hint="eastAsia" w:cs="宋体"/>
          <w:b w:val="0"/>
          <w:bCs w:val="0"/>
          <w:snapToGrid/>
        </w:rPr>
        <w:t>设备安装、接线</w:t>
      </w:r>
      <w:r>
        <w:rPr>
          <w:rFonts w:cs="宋体"/>
          <w:b w:val="0"/>
          <w:bCs w:val="0"/>
          <w:snapToGrid/>
        </w:rPr>
        <w:t>、</w:t>
      </w:r>
      <w:r>
        <w:rPr>
          <w:rFonts w:hint="eastAsia" w:cs="宋体"/>
          <w:b w:val="0"/>
          <w:bCs w:val="0"/>
          <w:snapToGrid/>
        </w:rPr>
        <w:t>调试等（</w:t>
      </w:r>
      <w:bookmarkStart w:id="0" w:name="OLE_LINK25"/>
      <w:bookmarkStart w:id="1" w:name="OLE_LINK24"/>
      <w:r>
        <w:rPr>
          <w:rFonts w:hint="eastAsia" w:cs="宋体"/>
          <w:b w:val="0"/>
          <w:bCs w:val="0"/>
          <w:snapToGrid/>
          <w:lang w:val="en-US" w:eastAsia="zh-CN"/>
        </w:rPr>
        <w:t>强电电缆</w:t>
      </w:r>
      <w:r>
        <w:rPr>
          <w:rFonts w:hint="eastAsia" w:cs="宋体"/>
          <w:b w:val="0"/>
          <w:bCs w:val="0"/>
          <w:snapToGrid/>
        </w:rPr>
        <w:t>敷设</w:t>
      </w:r>
      <w:bookmarkEnd w:id="0"/>
      <w:bookmarkEnd w:id="1"/>
      <w:r>
        <w:rPr>
          <w:rFonts w:hint="eastAsia" w:cs="宋体"/>
          <w:b w:val="0"/>
          <w:bCs w:val="0"/>
          <w:snapToGrid/>
        </w:rPr>
        <w:t>、电缆通道及桥架由船厂负责），以及</w:t>
      </w:r>
      <w:r>
        <w:rPr>
          <w:rFonts w:hint="eastAsia" w:cs="宋体"/>
          <w:b w:val="0"/>
          <w:bCs w:val="0"/>
          <w:snapToGrid/>
          <w:lang w:val="en-US" w:eastAsia="zh-CN"/>
        </w:rPr>
        <w:t>船厂</w:t>
      </w:r>
      <w:r>
        <w:rPr>
          <w:rFonts w:hint="eastAsia" w:cs="宋体"/>
          <w:b w:val="0"/>
          <w:bCs w:val="0"/>
          <w:snapToGrid/>
        </w:rPr>
        <w:t>负责部分的协调配合。</w:t>
      </w:r>
      <w:bookmarkStart w:id="2" w:name="OLE_LINK30"/>
      <w:bookmarkStart w:id="3" w:name="OLE_LINK29"/>
      <w:r>
        <w:rPr>
          <w:rFonts w:hint="eastAsia" w:cs="宋体"/>
          <w:b w:val="0"/>
          <w:bCs w:val="0"/>
          <w:snapToGrid/>
        </w:rPr>
        <w:t>施工完成后，向CCS、监理、船东及船厂交验</w:t>
      </w:r>
      <w:bookmarkEnd w:id="2"/>
      <w:bookmarkEnd w:id="3"/>
      <w:r>
        <w:rPr>
          <w:rFonts w:hint="eastAsia" w:cs="宋体"/>
          <w:b w:val="0"/>
          <w:bCs w:val="0"/>
          <w:snapToGrid/>
        </w:rPr>
        <w:t>，取得认可，</w:t>
      </w:r>
      <w:r>
        <w:rPr>
          <w:rFonts w:hint="eastAsia" w:cs="宋体"/>
          <w:b w:val="0"/>
          <w:bCs w:val="0"/>
          <w:snapToGrid/>
          <w:lang w:val="en-US" w:eastAsia="zh-CN"/>
        </w:rPr>
        <w:t>按照技术协议清单的要求（设备品牌、规格、数量、质量、技术参数、附件、配件等），</w:t>
      </w:r>
      <w:r>
        <w:rPr>
          <w:rFonts w:hint="eastAsia" w:cs="宋体"/>
          <w:b w:val="0"/>
          <w:bCs w:val="0"/>
          <w:snapToGrid/>
        </w:rPr>
        <w:t>保证</w:t>
      </w:r>
      <w:r>
        <w:rPr>
          <w:rFonts w:cs="宋体"/>
          <w:b w:val="0"/>
          <w:bCs w:val="0"/>
          <w:snapToGrid/>
        </w:rPr>
        <w:t>系统</w:t>
      </w:r>
      <w:r>
        <w:rPr>
          <w:rFonts w:hint="eastAsia" w:cs="宋体"/>
          <w:b w:val="0"/>
          <w:bCs w:val="0"/>
          <w:snapToGrid/>
        </w:rPr>
        <w:t>使用</w:t>
      </w:r>
      <w:r>
        <w:rPr>
          <w:rFonts w:cs="宋体"/>
          <w:b w:val="0"/>
          <w:bCs w:val="0"/>
          <w:snapToGrid/>
        </w:rPr>
        <w:t>质量</w:t>
      </w:r>
      <w:r>
        <w:rPr>
          <w:rFonts w:hint="eastAsia" w:cs="宋体"/>
          <w:b w:val="0"/>
          <w:bCs w:val="0"/>
          <w:snapToGrid/>
        </w:rPr>
        <w:t>良好，</w:t>
      </w:r>
      <w:r>
        <w:rPr>
          <w:rFonts w:hint="eastAsia" w:cs="宋体"/>
          <w:b w:val="0"/>
          <w:bCs w:val="0"/>
          <w:snapToGrid/>
          <w:lang w:val="en-US" w:eastAsia="zh-CN"/>
        </w:rPr>
        <w:t>达到预期功能效果，</w:t>
      </w:r>
      <w:r>
        <w:rPr>
          <w:rFonts w:hint="eastAsia" w:cs="宋体"/>
          <w:b w:val="0"/>
          <w:bCs w:val="0"/>
          <w:snapToGrid/>
        </w:rPr>
        <w:t>合格后签验收单。</w:t>
      </w:r>
    </w:p>
    <w:p>
      <w:pPr>
        <w:pStyle w:val="4"/>
        <w:numPr>
          <w:ilvl w:val="1"/>
          <w:numId w:val="0"/>
        </w:numPr>
        <w:spacing w:line="360" w:lineRule="auto"/>
        <w:ind w:left="420" w:leftChars="0" w:firstLine="480" w:firstLineChars="200"/>
        <w:rPr>
          <w:rFonts w:hint="eastAsia"/>
          <w:b w:val="0"/>
          <w:bCs w:val="0"/>
        </w:rPr>
      </w:pPr>
      <w:r>
        <w:rPr>
          <w:rFonts w:hint="eastAsia"/>
          <w:b w:val="0"/>
          <w:bCs w:val="0"/>
          <w:lang w:val="en-US" w:eastAsia="zh-CN"/>
        </w:rPr>
        <w:t>3.</w:t>
      </w:r>
      <w:r>
        <w:rPr>
          <w:rFonts w:hint="eastAsia"/>
          <w:b w:val="0"/>
          <w:bCs w:val="0"/>
        </w:rPr>
        <w:t>本合同价格为含税价</w:t>
      </w:r>
      <w:r>
        <w:rPr>
          <w:rFonts w:hint="eastAsia"/>
          <w:b w:val="0"/>
          <w:bCs w:val="0"/>
          <w:lang w:eastAsia="zh-CN"/>
        </w:rPr>
        <w:t>（</w:t>
      </w:r>
      <w:r>
        <w:rPr>
          <w:rFonts w:hint="eastAsia"/>
          <w:b w:val="0"/>
          <w:bCs w:val="0"/>
          <w:lang w:val="en-US" w:eastAsia="zh-CN"/>
        </w:rPr>
        <w:t>增值税专用发票13%）</w:t>
      </w:r>
      <w:r>
        <w:rPr>
          <w:rFonts w:hint="eastAsia"/>
          <w:b w:val="0"/>
          <w:bCs w:val="0"/>
        </w:rPr>
        <w:t>，产品单价为一次性不变价，在合同有效期内保持不变，不因市场价格的变化而变化。</w:t>
      </w:r>
    </w:p>
    <w:p>
      <w:pPr>
        <w:pStyle w:val="4"/>
        <w:numPr>
          <w:ilvl w:val="1"/>
          <w:numId w:val="0"/>
        </w:numPr>
        <w:spacing w:line="360" w:lineRule="auto"/>
        <w:ind w:left="420" w:leftChars="0" w:firstLine="482" w:firstLineChars="200"/>
      </w:pPr>
      <w:r>
        <w:rPr>
          <w:rFonts w:hint="eastAsia"/>
          <w:lang w:val="en-US" w:eastAsia="zh-CN"/>
        </w:rPr>
        <w:t>二、</w:t>
      </w:r>
      <w:r>
        <w:rPr>
          <w:rFonts w:hint="eastAsia"/>
        </w:rPr>
        <w:t>工程界面界定</w:t>
      </w:r>
    </w:p>
    <w:p>
      <w:pPr>
        <w:pStyle w:val="4"/>
        <w:numPr>
          <w:ilvl w:val="1"/>
          <w:numId w:val="0"/>
        </w:numPr>
        <w:spacing w:line="360" w:lineRule="auto"/>
        <w:ind w:left="420" w:leftChars="0" w:firstLine="480" w:firstLineChars="200"/>
        <w:rPr>
          <w:rFonts w:hint="eastAsia"/>
          <w:b w:val="0"/>
          <w:bCs w:val="0"/>
          <w:lang w:val="en-US" w:eastAsia="zh-CN"/>
        </w:rPr>
      </w:pPr>
      <w:r>
        <w:rPr>
          <w:rFonts w:hint="eastAsia"/>
          <w:b w:val="0"/>
          <w:bCs w:val="0"/>
          <w:lang w:val="en-US" w:eastAsia="zh-CN"/>
        </w:rPr>
        <w:t>1.音视频灯光线路包含音频信号线、音箱壁挂架、光纤线光缆、光纤冷接头、网线音频线、视频线、网线、信号线的材料及安装。设备电源线路由船厂安排强电施工队伍放线，供应商应负责提供技术图纸、施工指导、工序交接并完成设备接线和功能调试；强电电缆的通道、托架施工由船厂完成，其他均由供应商自行负责，放线次序按检验规范要求，线路捆扎、穿舱封堵由强弱电施工队伍共同配合完成，辅料由船厂提供；</w:t>
      </w:r>
    </w:p>
    <w:p>
      <w:pPr>
        <w:pStyle w:val="4"/>
        <w:numPr>
          <w:ilvl w:val="1"/>
          <w:numId w:val="0"/>
        </w:numPr>
        <w:spacing w:line="360" w:lineRule="auto"/>
        <w:ind w:left="420" w:leftChars="0" w:firstLine="480" w:firstLineChars="200"/>
        <w:rPr>
          <w:rFonts w:hint="eastAsia"/>
          <w:b w:val="0"/>
          <w:bCs w:val="0"/>
          <w:lang w:val="en-US" w:eastAsia="zh-CN"/>
        </w:rPr>
      </w:pPr>
      <w:r>
        <w:rPr>
          <w:rFonts w:hint="eastAsia"/>
          <w:b w:val="0"/>
          <w:bCs w:val="0"/>
          <w:lang w:val="en-US" w:eastAsia="zh-CN"/>
        </w:rPr>
        <w:t>2.大型设备的基座焊接与开孔由船厂完成。涉及到音视频灯光系统支路末端需要单独敷设的区域，由供应商按检验规范要求自行完成，并征得船检、质检的认可；</w:t>
      </w:r>
    </w:p>
    <w:p>
      <w:pPr>
        <w:pStyle w:val="4"/>
        <w:numPr>
          <w:ilvl w:val="1"/>
          <w:numId w:val="0"/>
        </w:numPr>
        <w:spacing w:line="360" w:lineRule="auto"/>
        <w:ind w:left="420" w:leftChars="0" w:firstLine="480" w:firstLineChars="200"/>
        <w:rPr>
          <w:rFonts w:hint="eastAsia"/>
          <w:b w:val="0"/>
          <w:bCs w:val="0"/>
          <w:lang w:val="en-US" w:eastAsia="zh-CN"/>
        </w:rPr>
      </w:pPr>
      <w:r>
        <w:rPr>
          <w:rFonts w:hint="eastAsia"/>
          <w:b w:val="0"/>
          <w:bCs w:val="0"/>
          <w:lang w:val="en-US" w:eastAsia="zh-CN"/>
        </w:rPr>
        <w:t>3.所有设备及线路安装除船厂质检及船检认可外，系统测试与软件功能应达到船东使用部门的验收，并向船东指定部门交接；</w:t>
      </w:r>
      <w:bookmarkStart w:id="4" w:name="_GoBack"/>
      <w:bookmarkEnd w:id="4"/>
    </w:p>
    <w:p>
      <w:pPr>
        <w:pStyle w:val="4"/>
        <w:numPr>
          <w:ilvl w:val="1"/>
          <w:numId w:val="0"/>
        </w:numPr>
        <w:spacing w:line="360" w:lineRule="auto"/>
        <w:ind w:left="420" w:leftChars="0" w:firstLine="480" w:firstLineChars="200"/>
        <w:rPr>
          <w:rFonts w:hint="eastAsia"/>
          <w:b w:val="0"/>
          <w:bCs w:val="0"/>
          <w:lang w:val="en-US" w:eastAsia="zh-CN"/>
        </w:rPr>
      </w:pPr>
      <w:r>
        <w:rPr>
          <w:rFonts w:hint="eastAsia"/>
          <w:b w:val="0"/>
          <w:bCs w:val="0"/>
          <w:lang w:val="en-US" w:eastAsia="zh-CN"/>
        </w:rPr>
        <w:t>4.本项目报价为总体包干，含设备供应、工程界面内的施工安装、调试及质保服务等。清单内的设备、线缆及器材冗余部分在安装完成后由供应商将余量交付船东留船备用。</w:t>
      </w:r>
    </w:p>
    <w:sectPr>
      <w:pgSz w:w="11906" w:h="16838"/>
      <w:pgMar w:top="993" w:right="991" w:bottom="709" w:left="99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4D8E0A"/>
    <w:multiLevelType w:val="multilevel"/>
    <w:tmpl w:val="B04D8E0A"/>
    <w:lvl w:ilvl="0" w:tentative="0">
      <w:start w:val="1"/>
      <w:numFmt w:val="chineseCounting"/>
      <w:pStyle w:val="5"/>
      <w:suff w:val="nothing"/>
      <w:lvlText w:val="第%1章 "/>
      <w:lvlJc w:val="left"/>
      <w:pPr>
        <w:tabs>
          <w:tab w:val="left" w:pos="0"/>
        </w:tabs>
        <w:ind w:left="0" w:firstLine="0"/>
      </w:pPr>
      <w:rPr>
        <w:rFonts w:hint="eastAsia" w:ascii="宋体" w:hAnsi="宋体" w:eastAsia="宋体" w:cs="宋体"/>
      </w:rPr>
    </w:lvl>
    <w:lvl w:ilvl="1" w:tentative="0">
      <w:start w:val="1"/>
      <w:numFmt w:val="chineseCounting"/>
      <w:pStyle w:val="4"/>
      <w:suff w:val="nothing"/>
      <w:lvlText w:val="%2、"/>
      <w:lvlJc w:val="left"/>
      <w:pPr>
        <w:ind w:left="709" w:firstLine="0"/>
      </w:pPr>
      <w:rPr>
        <w:rFonts w:hint="eastAsia" w:ascii="宋体" w:hAnsi="宋体" w:eastAsia="宋体" w:cs="宋体"/>
        <w:lang w:val="en-US"/>
      </w:rPr>
    </w:lvl>
    <w:lvl w:ilvl="2" w:tentative="0">
      <w:start w:val="1"/>
      <w:numFmt w:val="chineseCounting"/>
      <w:pStyle w:val="6"/>
      <w:suff w:val="nothing"/>
      <w:lvlText w:val="(%3)"/>
      <w:lvlJc w:val="left"/>
      <w:pPr>
        <w:tabs>
          <w:tab w:val="left" w:pos="0"/>
        </w:tabs>
        <w:ind w:left="0" w:firstLine="0"/>
      </w:pPr>
      <w:rPr>
        <w:rFonts w:hint="eastAsia" w:ascii="宋体" w:hAnsi="宋体" w:eastAsia="宋体" w:cs="宋体"/>
      </w:rPr>
    </w:lvl>
    <w:lvl w:ilvl="3" w:tentative="0">
      <w:start w:val="1"/>
      <w:numFmt w:val="decimal"/>
      <w:pStyle w:val="7"/>
      <w:suff w:val="nothing"/>
      <w:lvlText w:val="%4."/>
      <w:lvlJc w:val="left"/>
      <w:pPr>
        <w:tabs>
          <w:tab w:val="left" w:pos="0"/>
        </w:tabs>
        <w:ind w:left="0" w:firstLine="0"/>
      </w:pPr>
      <w:rPr>
        <w:rFonts w:hint="eastAsia" w:ascii="宋体" w:hAnsi="宋体" w:eastAsia="宋体" w:cs="宋体"/>
      </w:rPr>
    </w:lvl>
    <w:lvl w:ilvl="4" w:tentative="0">
      <w:start w:val="1"/>
      <w:numFmt w:val="decimal"/>
      <w:pStyle w:val="8"/>
      <w:suff w:val="nothing"/>
      <w:lvlText w:val="%4.%5"/>
      <w:lvlJc w:val="left"/>
      <w:pPr>
        <w:ind w:left="0" w:firstLine="0"/>
      </w:pPr>
      <w:rPr>
        <w:rFonts w:hint="eastAsia" w:ascii="宋体" w:hAnsi="宋体" w:eastAsia="宋体" w:cs="宋体"/>
      </w:rPr>
    </w:lvl>
    <w:lvl w:ilvl="5" w:tentative="0">
      <w:start w:val="1"/>
      <w:numFmt w:val="decimal"/>
      <w:pStyle w:val="9"/>
      <w:suff w:val="nothing"/>
      <w:lvlText w:val="(%6)"/>
      <w:lvlJc w:val="left"/>
      <w:pPr>
        <w:ind w:left="0" w:firstLine="0"/>
      </w:pPr>
      <w:rPr>
        <w:rFonts w:hint="eastAsia" w:ascii="宋体" w:hAnsi="宋体" w:eastAsia="宋体" w:cs="宋体"/>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E1C6327C"/>
    <w:multiLevelType w:val="multilevel"/>
    <w:tmpl w:val="E1C6327C"/>
    <w:lvl w:ilvl="0" w:tentative="0">
      <w:start w:val="1"/>
      <w:numFmt w:val="chineseCounting"/>
      <w:suff w:val="nothing"/>
      <w:lvlText w:val="%1、"/>
      <w:lvlJc w:val="left"/>
      <w:pPr>
        <w:tabs>
          <w:tab w:val="left" w:pos="0"/>
        </w:tabs>
        <w:ind w:left="0" w:firstLine="0"/>
      </w:pPr>
      <w:rPr>
        <w:rFonts w:hint="eastAsia" w:ascii="宋体" w:hAnsi="宋体" w:eastAsia="宋体" w:cs="宋体"/>
      </w:rPr>
    </w:lvl>
    <w:lvl w:ilvl="1" w:tentative="0">
      <w:start w:val="1"/>
      <w:numFmt w:val="chineseCounting"/>
      <w:suff w:val="nothing"/>
      <w:lvlText w:val="(%2)"/>
      <w:lvlJc w:val="left"/>
      <w:pPr>
        <w:ind w:left="0" w:firstLine="0"/>
      </w:pPr>
      <w:rPr>
        <w:rFonts w:hint="eastAsia" w:ascii="宋体" w:hAnsi="宋体" w:eastAsia="宋体" w:cs="宋体"/>
      </w:rPr>
    </w:lvl>
    <w:lvl w:ilvl="2" w:tentative="0">
      <w:start w:val="1"/>
      <w:numFmt w:val="decimal"/>
      <w:pStyle w:val="10"/>
      <w:suff w:val="nothing"/>
      <w:lvlText w:val="%3."/>
      <w:lvlJc w:val="left"/>
      <w:pPr>
        <w:ind w:left="0" w:firstLine="0"/>
      </w:pPr>
      <w:rPr>
        <w:rFonts w:hint="eastAsia" w:ascii="宋体" w:hAnsi="宋体" w:eastAsia="宋体" w:cs="宋体"/>
      </w:rPr>
    </w:lvl>
    <w:lvl w:ilvl="3" w:tentative="0">
      <w:start w:val="1"/>
      <w:numFmt w:val="decimal"/>
      <w:suff w:val="nothing"/>
      <w:lvlText w:val="%3.%4"/>
      <w:lvlJc w:val="left"/>
      <w:pPr>
        <w:ind w:left="0" w:firstLine="0"/>
      </w:pPr>
      <w:rPr>
        <w:rFonts w:hint="eastAsia" w:ascii="宋体" w:hAnsi="宋体" w:eastAsia="宋体" w:cs="宋体"/>
      </w:rPr>
    </w:lvl>
    <w:lvl w:ilvl="4" w:tentative="0">
      <w:start w:val="1"/>
      <w:numFmt w:val="decimal"/>
      <w:suff w:val="nothing"/>
      <w:lvlText w:val="(%5)"/>
      <w:lvlJc w:val="left"/>
      <w:pPr>
        <w:ind w:left="0" w:firstLine="0"/>
      </w:pPr>
      <w:rPr>
        <w:rFonts w:hint="eastAsia" w:ascii="宋体" w:hAnsi="宋体" w:eastAsia="宋体" w:cs="宋体"/>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128"/>
    <w:rsid w:val="00035DF9"/>
    <w:rsid w:val="00077BFA"/>
    <w:rsid w:val="001473D6"/>
    <w:rsid w:val="001D4C94"/>
    <w:rsid w:val="00301128"/>
    <w:rsid w:val="00330DA5"/>
    <w:rsid w:val="003C51D9"/>
    <w:rsid w:val="004A123A"/>
    <w:rsid w:val="005402AE"/>
    <w:rsid w:val="005F41AE"/>
    <w:rsid w:val="009C6AB0"/>
    <w:rsid w:val="00AE50A5"/>
    <w:rsid w:val="00D15E55"/>
    <w:rsid w:val="00D23363"/>
    <w:rsid w:val="00E01667"/>
    <w:rsid w:val="00E35CA1"/>
    <w:rsid w:val="00F451F9"/>
    <w:rsid w:val="048B3443"/>
    <w:rsid w:val="08502DB0"/>
    <w:rsid w:val="08C83CF3"/>
    <w:rsid w:val="09DD383B"/>
    <w:rsid w:val="11E74B6B"/>
    <w:rsid w:val="20CD585E"/>
    <w:rsid w:val="241354CF"/>
    <w:rsid w:val="289D48FE"/>
    <w:rsid w:val="30661878"/>
    <w:rsid w:val="47947AFC"/>
    <w:rsid w:val="526947C2"/>
    <w:rsid w:val="594D1592"/>
    <w:rsid w:val="76A22F2E"/>
    <w:rsid w:val="7C961647"/>
    <w:rsid w:val="7D1332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15、“一、”二级标题"/>
    <w:basedOn w:val="1"/>
    <w:qFormat/>
    <w:uiPriority w:val="0"/>
    <w:pPr>
      <w:numPr>
        <w:ilvl w:val="1"/>
        <w:numId w:val="1"/>
      </w:numPr>
      <w:tabs>
        <w:tab w:val="left" w:pos="0"/>
      </w:tabs>
      <w:wordWrap w:val="0"/>
      <w:topLinePunct/>
      <w:adjustRightInd w:val="0"/>
      <w:snapToGrid w:val="0"/>
      <w:spacing w:line="440" w:lineRule="exact"/>
      <w:ind w:firstLine="803" w:firstLineChars="200"/>
      <w:jc w:val="left"/>
      <w:outlineLvl w:val="1"/>
    </w:pPr>
    <w:rPr>
      <w:rFonts w:ascii="宋体" w:hAnsi="宋体" w:eastAsia="宋体"/>
      <w:b/>
      <w:sz w:val="24"/>
      <w:szCs w:val="24"/>
    </w:rPr>
  </w:style>
  <w:style w:type="paragraph" w:customStyle="1" w:styleId="5">
    <w:name w:val="14、“第一章”一级标题"/>
    <w:basedOn w:val="1"/>
    <w:qFormat/>
    <w:uiPriority w:val="0"/>
    <w:pPr>
      <w:numPr>
        <w:ilvl w:val="0"/>
        <w:numId w:val="1"/>
      </w:numPr>
      <w:wordWrap w:val="0"/>
      <w:topLinePunct/>
      <w:adjustRightInd w:val="0"/>
      <w:snapToGrid w:val="0"/>
      <w:spacing w:beforeLines="50" w:afterLines="50"/>
      <w:jc w:val="center"/>
      <w:outlineLvl w:val="0"/>
    </w:pPr>
    <w:rPr>
      <w:rFonts w:ascii="宋体" w:hAnsi="宋体" w:eastAsia="宋体"/>
      <w:b/>
      <w:snapToGrid w:val="0"/>
      <w:sz w:val="36"/>
      <w:szCs w:val="24"/>
    </w:rPr>
  </w:style>
  <w:style w:type="paragraph" w:customStyle="1" w:styleId="6">
    <w:name w:val="16、“(一)”三级标题"/>
    <w:basedOn w:val="1"/>
    <w:qFormat/>
    <w:uiPriority w:val="0"/>
    <w:pPr>
      <w:numPr>
        <w:ilvl w:val="2"/>
        <w:numId w:val="1"/>
      </w:numPr>
      <w:wordWrap w:val="0"/>
      <w:topLinePunct/>
      <w:adjustRightInd w:val="0"/>
      <w:snapToGrid w:val="0"/>
      <w:spacing w:line="440" w:lineRule="exact"/>
      <w:ind w:firstLine="803" w:firstLineChars="200"/>
      <w:jc w:val="left"/>
      <w:outlineLvl w:val="2"/>
    </w:pPr>
    <w:rPr>
      <w:rFonts w:ascii="宋体" w:hAnsi="宋体" w:eastAsia="宋体"/>
      <w:b/>
      <w:snapToGrid w:val="0"/>
      <w:sz w:val="24"/>
      <w:szCs w:val="24"/>
    </w:rPr>
  </w:style>
  <w:style w:type="paragraph" w:customStyle="1" w:styleId="7">
    <w:name w:val="17“1.”四级标题"/>
    <w:basedOn w:val="1"/>
    <w:qFormat/>
    <w:uiPriority w:val="0"/>
    <w:pPr>
      <w:numPr>
        <w:ilvl w:val="3"/>
        <w:numId w:val="1"/>
      </w:numPr>
      <w:tabs>
        <w:tab w:val="left" w:pos="360"/>
      </w:tabs>
      <w:wordWrap w:val="0"/>
      <w:topLinePunct/>
      <w:adjustRightInd w:val="0"/>
      <w:snapToGrid w:val="0"/>
      <w:spacing w:line="440" w:lineRule="exact"/>
      <w:ind w:firstLine="803" w:firstLineChars="200"/>
      <w:jc w:val="left"/>
    </w:pPr>
    <w:rPr>
      <w:rFonts w:ascii="宋体" w:hAnsi="宋体" w:eastAsia="宋体"/>
      <w:sz w:val="24"/>
      <w:szCs w:val="24"/>
    </w:rPr>
  </w:style>
  <w:style w:type="paragraph" w:customStyle="1" w:styleId="8">
    <w:name w:val="18、“1.1”五级标题"/>
    <w:basedOn w:val="7"/>
    <w:qFormat/>
    <w:uiPriority w:val="0"/>
    <w:pPr>
      <w:numPr>
        <w:ilvl w:val="4"/>
      </w:numPr>
      <w:ind w:firstLine="803"/>
    </w:pPr>
  </w:style>
  <w:style w:type="paragraph" w:customStyle="1" w:styleId="9">
    <w:name w:val="19、“(1)”六级标题"/>
    <w:basedOn w:val="7"/>
    <w:qFormat/>
    <w:uiPriority w:val="0"/>
    <w:pPr>
      <w:numPr>
        <w:ilvl w:val="5"/>
      </w:numPr>
      <w:ind w:firstLine="803"/>
    </w:pPr>
  </w:style>
  <w:style w:type="paragraph" w:customStyle="1" w:styleId="10">
    <w:name w:val="06、“1.”正文四级标题"/>
    <w:basedOn w:val="1"/>
    <w:qFormat/>
    <w:uiPriority w:val="0"/>
    <w:pPr>
      <w:numPr>
        <w:ilvl w:val="2"/>
        <w:numId w:val="2"/>
      </w:numPr>
      <w:tabs>
        <w:tab w:val="left" w:pos="0"/>
      </w:tabs>
      <w:wordWrap w:val="0"/>
      <w:topLinePunct/>
      <w:adjustRightInd w:val="0"/>
      <w:snapToGrid w:val="0"/>
      <w:spacing w:line="440" w:lineRule="exact"/>
      <w:jc w:val="left"/>
    </w:pPr>
    <w:rPr>
      <w:rFonts w:ascii="宋体" w:hAnsi="宋体" w:eastAsia="宋体"/>
      <w:snapToGrid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136</Words>
  <Characters>779</Characters>
  <Lines>6</Lines>
  <Paragraphs>1</Paragraphs>
  <TotalTime>6</TotalTime>
  <ScaleCrop>false</ScaleCrop>
  <LinksUpToDate>false</LinksUpToDate>
  <CharactersWithSpaces>914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2025-11-26T01:34:00Z</dcterms:created>
  <dc:creator>86135</dc:creator>
  <cp:lastModifiedBy>Administrator</cp:lastModifiedBy>
  <dcterms:modified xsi:type="dcterms:W3CDTF">2025-12-25T11:51:50Z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5447451EE3BA461A973D974A2D37B706</vt:lpwstr>
  </property>
</Properties>
</file>