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eastAsia="宋体"/>
          <w:sz w:val="72"/>
          <w:szCs w:val="72"/>
          <w:lang w:val="en-US" w:eastAsia="zh-CN"/>
        </w:rPr>
      </w:pPr>
      <w:r>
        <w:rPr>
          <w:rFonts w:hint="eastAsia" w:ascii="宋体" w:hAnsi="宋体" w:eastAsia="宋体"/>
          <w:sz w:val="72"/>
          <w:szCs w:val="72"/>
          <w:lang w:val="en-US" w:eastAsia="zh-CN"/>
        </w:rPr>
        <w:t>150米三峡游轮</w:t>
      </w:r>
    </w:p>
    <w:p>
      <w:pPr>
        <w:jc w:val="center"/>
        <w:rPr>
          <w:rFonts w:hint="eastAsia" w:ascii="宋体" w:hAnsi="宋体" w:eastAsia="宋体"/>
          <w:sz w:val="72"/>
          <w:szCs w:val="72"/>
        </w:rPr>
      </w:pPr>
      <w:r>
        <w:rPr>
          <w:rFonts w:hint="eastAsia" w:ascii="宋体" w:hAnsi="宋体" w:eastAsia="宋体"/>
          <w:sz w:val="72"/>
          <w:szCs w:val="72"/>
          <w:lang w:val="en-US" w:eastAsia="zh-CN"/>
        </w:rPr>
        <w:t>音视频灯光系统</w:t>
      </w:r>
    </w:p>
    <w:p>
      <w:pPr>
        <w:spacing w:line="360" w:lineRule="auto"/>
        <w:jc w:val="center"/>
        <w:rPr>
          <w:rFonts w:hint="eastAsia" w:ascii="宋体" w:hAnsi="宋体" w:eastAsia="宋体"/>
          <w:sz w:val="56"/>
          <w:szCs w:val="56"/>
        </w:rPr>
      </w:pPr>
    </w:p>
    <w:p>
      <w:pPr>
        <w:spacing w:line="1500" w:lineRule="exact"/>
        <w:jc w:val="center"/>
        <w:rPr>
          <w:rFonts w:hint="eastAsia" w:ascii="宋体" w:hAnsi="宋体" w:eastAsia="宋体"/>
          <w:b/>
          <w:bCs/>
          <w:sz w:val="72"/>
          <w:szCs w:val="72"/>
        </w:rPr>
      </w:pPr>
      <w:r>
        <w:rPr>
          <w:rFonts w:hint="eastAsia" w:ascii="宋体" w:hAnsi="宋体" w:eastAsia="宋体"/>
          <w:b/>
          <w:bCs/>
          <w:sz w:val="72"/>
          <w:szCs w:val="72"/>
        </w:rPr>
        <w:t>技</w:t>
      </w:r>
    </w:p>
    <w:p>
      <w:pPr>
        <w:spacing w:line="1500" w:lineRule="exact"/>
        <w:jc w:val="center"/>
        <w:rPr>
          <w:rFonts w:hint="eastAsia" w:ascii="宋体" w:hAnsi="宋体" w:eastAsia="宋体"/>
          <w:b/>
          <w:bCs/>
          <w:sz w:val="72"/>
          <w:szCs w:val="72"/>
        </w:rPr>
      </w:pPr>
      <w:r>
        <w:rPr>
          <w:rFonts w:hint="eastAsia" w:ascii="宋体" w:hAnsi="宋体" w:eastAsia="宋体"/>
          <w:b/>
          <w:bCs/>
          <w:sz w:val="72"/>
          <w:szCs w:val="72"/>
        </w:rPr>
        <w:t>术</w:t>
      </w:r>
    </w:p>
    <w:p>
      <w:pPr>
        <w:spacing w:line="1500" w:lineRule="exact"/>
        <w:jc w:val="center"/>
        <w:rPr>
          <w:rFonts w:hint="eastAsia" w:ascii="宋体" w:hAnsi="宋体" w:eastAsia="宋体"/>
          <w:b/>
          <w:bCs/>
          <w:sz w:val="72"/>
          <w:szCs w:val="72"/>
        </w:rPr>
      </w:pPr>
      <w:r>
        <w:rPr>
          <w:rFonts w:hint="eastAsia" w:ascii="宋体" w:hAnsi="宋体" w:eastAsia="宋体"/>
          <w:b/>
          <w:bCs/>
          <w:sz w:val="72"/>
          <w:szCs w:val="72"/>
        </w:rPr>
        <w:t>协</w:t>
      </w:r>
    </w:p>
    <w:p>
      <w:pPr>
        <w:spacing w:line="1500" w:lineRule="exact"/>
        <w:jc w:val="center"/>
        <w:rPr>
          <w:rFonts w:hint="eastAsia" w:ascii="宋体" w:hAnsi="宋体" w:eastAsia="宋体"/>
          <w:b/>
          <w:bCs/>
          <w:sz w:val="56"/>
          <w:szCs w:val="56"/>
        </w:rPr>
      </w:pPr>
      <w:r>
        <w:rPr>
          <w:rFonts w:hint="eastAsia" w:ascii="宋体" w:hAnsi="宋体" w:eastAsia="宋体"/>
          <w:b/>
          <w:bCs/>
          <w:sz w:val="72"/>
          <w:szCs w:val="72"/>
        </w:rPr>
        <w:t>议</w:t>
      </w:r>
    </w:p>
    <w:p>
      <w:pPr>
        <w:spacing w:line="360" w:lineRule="auto"/>
        <w:rPr>
          <w:rFonts w:hint="eastAsia" w:asciiTheme="minorEastAsia" w:hAnsiTheme="minorEastAsia"/>
          <w:b/>
          <w:bCs/>
          <w:sz w:val="24"/>
        </w:rPr>
      </w:pPr>
    </w:p>
    <w:p>
      <w:pPr>
        <w:spacing w:line="360" w:lineRule="auto"/>
        <w:rPr>
          <w:rFonts w:hint="eastAsia" w:asciiTheme="minorEastAsia" w:hAnsiTheme="minorEastAsia"/>
          <w:b/>
          <w:bCs/>
          <w:sz w:val="24"/>
        </w:rPr>
      </w:pPr>
    </w:p>
    <w:p>
      <w:pPr>
        <w:spacing w:line="360" w:lineRule="auto"/>
        <w:rPr>
          <w:rFonts w:hint="eastAsia" w:asciiTheme="minorEastAsia" w:hAnsiTheme="minorEastAsia"/>
          <w:b/>
          <w:bCs/>
          <w:sz w:val="24"/>
        </w:rPr>
      </w:pPr>
    </w:p>
    <w:p>
      <w:pPr>
        <w:snapToGrid w:val="0"/>
        <w:spacing w:line="400" w:lineRule="exact"/>
        <w:ind w:firstLine="1201" w:firstLineChars="400"/>
        <w:jc w:val="left"/>
        <w:rPr>
          <w:rFonts w:hint="eastAsia" w:ascii="宋体"/>
          <w:b/>
          <w:sz w:val="30"/>
          <w:szCs w:val="30"/>
        </w:rPr>
      </w:pPr>
      <w:r>
        <w:rPr>
          <w:rFonts w:hint="eastAsia" w:ascii="宋体"/>
          <w:b/>
          <w:sz w:val="30"/>
          <w:szCs w:val="30"/>
        </w:rPr>
        <w:t>船    东：重庆交运游轮有限公司</w:t>
      </w:r>
    </w:p>
    <w:p>
      <w:pPr>
        <w:snapToGrid w:val="0"/>
        <w:spacing w:line="400" w:lineRule="exact"/>
        <w:ind w:firstLine="1201" w:firstLineChars="400"/>
        <w:jc w:val="left"/>
        <w:rPr>
          <w:rFonts w:hint="eastAsia" w:ascii="宋体"/>
          <w:b/>
          <w:sz w:val="30"/>
          <w:szCs w:val="30"/>
        </w:rPr>
      </w:pPr>
      <w:r>
        <w:rPr>
          <w:rFonts w:hint="eastAsia" w:ascii="宋体"/>
          <w:b/>
          <w:sz w:val="30"/>
          <w:szCs w:val="30"/>
        </w:rPr>
        <w:t>代表签字：</w:t>
      </w:r>
    </w:p>
    <w:p>
      <w:pPr>
        <w:snapToGrid w:val="0"/>
        <w:spacing w:line="400" w:lineRule="exact"/>
        <w:jc w:val="left"/>
        <w:rPr>
          <w:rFonts w:hint="eastAsia" w:ascii="宋体"/>
          <w:b/>
          <w:sz w:val="30"/>
          <w:szCs w:val="30"/>
        </w:rPr>
      </w:pPr>
      <w:r>
        <w:rPr>
          <w:rFonts w:hint="eastAsia" w:ascii="宋体"/>
          <w:b/>
          <w:sz w:val="30"/>
          <w:szCs w:val="30"/>
        </w:rPr>
        <w:t xml:space="preserve"> </w:t>
      </w:r>
    </w:p>
    <w:p>
      <w:pPr>
        <w:snapToGrid w:val="0"/>
        <w:spacing w:line="400" w:lineRule="exact"/>
        <w:ind w:firstLine="1201" w:firstLineChars="400"/>
        <w:jc w:val="left"/>
        <w:rPr>
          <w:rFonts w:hint="eastAsia" w:ascii="宋体"/>
          <w:b/>
          <w:sz w:val="30"/>
          <w:szCs w:val="30"/>
        </w:rPr>
      </w:pPr>
      <w:r>
        <w:rPr>
          <w:rFonts w:hint="eastAsia" w:ascii="宋体"/>
          <w:b/>
          <w:sz w:val="30"/>
          <w:szCs w:val="30"/>
        </w:rPr>
        <w:t>船    厂：重庆中江船业有限公司</w:t>
      </w:r>
    </w:p>
    <w:p>
      <w:pPr>
        <w:snapToGrid w:val="0"/>
        <w:spacing w:line="400" w:lineRule="exact"/>
        <w:ind w:firstLine="1201" w:firstLineChars="400"/>
        <w:jc w:val="left"/>
        <w:rPr>
          <w:rFonts w:hint="eastAsia" w:ascii="宋体"/>
          <w:b/>
          <w:sz w:val="30"/>
          <w:szCs w:val="30"/>
        </w:rPr>
      </w:pPr>
      <w:r>
        <w:rPr>
          <w:rFonts w:hint="eastAsia" w:ascii="宋体"/>
          <w:b/>
          <w:sz w:val="30"/>
          <w:szCs w:val="30"/>
        </w:rPr>
        <w:t>代表签字：</w:t>
      </w:r>
    </w:p>
    <w:p>
      <w:pPr>
        <w:snapToGrid w:val="0"/>
        <w:spacing w:line="400" w:lineRule="exact"/>
        <w:jc w:val="left"/>
        <w:rPr>
          <w:rFonts w:hint="eastAsia" w:ascii="宋体"/>
          <w:b/>
          <w:sz w:val="30"/>
          <w:szCs w:val="30"/>
        </w:rPr>
      </w:pPr>
      <w:r>
        <w:rPr>
          <w:rFonts w:hint="eastAsia" w:ascii="宋体"/>
          <w:b/>
          <w:sz w:val="30"/>
          <w:szCs w:val="30"/>
        </w:rPr>
        <w:t xml:space="preserve"> </w:t>
      </w:r>
    </w:p>
    <w:p>
      <w:pPr>
        <w:snapToGrid w:val="0"/>
        <w:spacing w:line="400" w:lineRule="exact"/>
        <w:ind w:firstLine="1201" w:firstLineChars="400"/>
        <w:jc w:val="left"/>
        <w:rPr>
          <w:rFonts w:hint="eastAsia" w:ascii="宋体"/>
          <w:b/>
          <w:sz w:val="30"/>
          <w:szCs w:val="30"/>
        </w:rPr>
      </w:pPr>
      <w:r>
        <w:rPr>
          <w:rFonts w:hint="eastAsia" w:ascii="宋体"/>
          <w:b/>
          <w:sz w:val="30"/>
          <w:szCs w:val="30"/>
        </w:rPr>
        <w:t xml:space="preserve">供 应 商： </w:t>
      </w:r>
    </w:p>
    <w:p>
      <w:pPr>
        <w:snapToGrid w:val="0"/>
        <w:spacing w:line="400" w:lineRule="exact"/>
        <w:ind w:firstLine="1201" w:firstLineChars="400"/>
        <w:jc w:val="left"/>
        <w:rPr>
          <w:rFonts w:hint="eastAsia" w:ascii="宋体"/>
          <w:b/>
          <w:sz w:val="30"/>
          <w:szCs w:val="30"/>
        </w:rPr>
      </w:pPr>
      <w:r>
        <w:rPr>
          <w:rFonts w:hint="eastAsia" w:ascii="宋体"/>
          <w:b/>
          <w:sz w:val="30"/>
          <w:szCs w:val="30"/>
        </w:rPr>
        <w:t>代表签字：</w:t>
      </w:r>
    </w:p>
    <w:p>
      <w:pPr>
        <w:pStyle w:val="21"/>
        <w:keepNext w:val="0"/>
        <w:keepLines w:val="0"/>
        <w:pageBreakBefore w:val="0"/>
        <w:widowControl w:val="0"/>
        <w:numPr>
          <w:ilvl w:val="1"/>
          <w:numId w:val="0"/>
        </w:numPr>
        <w:kinsoku/>
        <w:overflowPunct/>
        <w:autoSpaceDE/>
        <w:autoSpaceDN/>
        <w:bidi w:val="0"/>
        <w:spacing w:line="360" w:lineRule="auto"/>
        <w:ind w:left="420" w:leftChars="200"/>
        <w:textAlignment w:val="auto"/>
        <w:rPr>
          <w:rFonts w:hint="eastAsia"/>
        </w:rPr>
      </w:pPr>
      <w:bookmarkStart w:id="0" w:name="_Toc28777"/>
      <w:r>
        <w:rPr>
          <w:rFonts w:hint="eastAsia"/>
        </w:rPr>
        <w:t>一、项目概述</w:t>
      </w:r>
      <w:bookmarkEnd w:id="0"/>
    </w:p>
    <w:p>
      <w:pPr>
        <w:pStyle w:val="25"/>
        <w:keepNext w:val="0"/>
        <w:keepLines w:val="0"/>
        <w:pageBreakBefore w:val="0"/>
        <w:widowControl w:val="0"/>
        <w:kinsoku/>
        <w:overflowPunct/>
        <w:autoSpaceDE/>
        <w:autoSpaceDN/>
        <w:bidi w:val="0"/>
        <w:spacing w:line="360" w:lineRule="auto"/>
        <w:textAlignment w:val="auto"/>
        <w:rPr>
          <w:rFonts w:hint="eastAsia"/>
        </w:rPr>
      </w:pPr>
      <w:r>
        <w:rPr>
          <w:rFonts w:hint="eastAsia"/>
        </w:rPr>
        <w:t>重庆中江船业有限公司建造的“重轮长江云帆”游轮，船长149.98米，共设至302间客房，载客650人。</w:t>
      </w:r>
      <w:bookmarkStart w:id="1" w:name="OLE_LINK6"/>
      <w:r>
        <w:rPr>
          <w:rFonts w:hint="eastAsia"/>
        </w:rPr>
        <w:t>拟建设一套</w:t>
      </w:r>
      <w:r>
        <w:rPr>
          <w:rFonts w:hint="eastAsia"/>
          <w:lang w:val="en-US" w:eastAsia="zh-CN"/>
        </w:rPr>
        <w:t>全船音视频灯光系统，包括多功能厅、电影院、KTV、餐厅、IP背景广播</w:t>
      </w:r>
      <w:bookmarkEnd w:id="1"/>
      <w:r>
        <w:rPr>
          <w:rFonts w:hint="eastAsia"/>
          <w:lang w:val="en-US" w:eastAsia="zh-CN"/>
        </w:rPr>
        <w:t>等，以满足船舶功能需求和客人娱乐需求</w:t>
      </w:r>
      <w:r>
        <w:rPr>
          <w:rFonts w:hint="eastAsia"/>
        </w:rPr>
        <w:t>。</w:t>
      </w:r>
    </w:p>
    <w:p>
      <w:pPr>
        <w:pStyle w:val="21"/>
        <w:keepNext w:val="0"/>
        <w:keepLines w:val="0"/>
        <w:pageBreakBefore w:val="0"/>
        <w:widowControl w:val="0"/>
        <w:numPr>
          <w:ilvl w:val="0"/>
          <w:numId w:val="4"/>
        </w:numPr>
        <w:kinsoku/>
        <w:overflowPunct/>
        <w:autoSpaceDE/>
        <w:autoSpaceDN/>
        <w:bidi w:val="0"/>
        <w:spacing w:line="360" w:lineRule="auto"/>
        <w:ind w:left="420" w:leftChars="200"/>
        <w:textAlignment w:val="auto"/>
        <w:rPr>
          <w:rFonts w:hint="eastAsia"/>
        </w:rPr>
      </w:pPr>
      <w:bookmarkStart w:id="2" w:name="_Toc14332"/>
      <w:r>
        <w:rPr>
          <w:rFonts w:hint="eastAsia"/>
        </w:rPr>
        <w:t>项目要求</w:t>
      </w:r>
      <w:bookmarkEnd w:id="2"/>
    </w:p>
    <w:p>
      <w:pPr>
        <w:keepNext w:val="0"/>
        <w:keepLines w:val="0"/>
        <w:pageBreakBefore w:val="0"/>
        <w:widowControl w:val="0"/>
        <w:kinsoku/>
        <w:overflowPunct/>
        <w:autoSpaceDE/>
        <w:autoSpaceDN/>
        <w:bidi w:val="0"/>
        <w:spacing w:after="60" w:line="360" w:lineRule="auto"/>
        <w:ind w:firstLine="480" w:firstLineChars="200"/>
        <w:textAlignment w:val="auto"/>
        <w:rPr>
          <w:rFonts w:hint="default" w:ascii="宋体" w:hAnsi="宋体" w:eastAsia="宋体" w:cstheme="minorBidi"/>
          <w:kern w:val="2"/>
          <w:sz w:val="24"/>
          <w:szCs w:val="24"/>
          <w:lang w:val="en-US" w:eastAsia="zh-CN" w:bidi="ar-SA"/>
        </w:rPr>
      </w:pPr>
      <w:r>
        <w:rPr>
          <w:rFonts w:hint="eastAsia" w:ascii="宋体" w:hAnsi="宋体" w:eastAsia="宋体" w:cstheme="minorBidi"/>
          <w:kern w:val="2"/>
          <w:sz w:val="24"/>
          <w:szCs w:val="24"/>
          <w:lang w:val="en-US" w:eastAsia="zh-CN" w:bidi="ar-SA"/>
        </w:rPr>
        <w:t>总体要求建设一套全船音视频灯光系统，要求按照先进、可靠、节能的原则进行设计和施工，整体设计方案要符合国家和行业相关标准，各处细节要充分考虑船舶各个区域的实际情况，比如空间大小、层高、装饰装修风格、防水、防潮、防腐蚀、防尘等，要求方案具备较高的性价比和适应性，最终实现的效果要与装饰风格相适应和匹配。具体功能要求如下：</w:t>
      </w:r>
    </w:p>
    <w:p>
      <w:pPr>
        <w:keepNext w:val="0"/>
        <w:keepLines w:val="0"/>
        <w:pageBreakBefore w:val="0"/>
        <w:widowControl w:val="0"/>
        <w:kinsoku/>
        <w:overflowPunct/>
        <w:autoSpaceDE/>
        <w:autoSpaceDN/>
        <w:bidi w:val="0"/>
        <w:spacing w:after="60" w:line="360" w:lineRule="auto"/>
        <w:ind w:firstLine="480" w:firstLineChars="200"/>
        <w:textAlignment w:val="auto"/>
        <w:rPr>
          <w:rFonts w:hint="eastAsia" w:ascii="宋体" w:hAnsi="宋体" w:eastAsia="宋体" w:cstheme="minorBidi"/>
          <w:kern w:val="2"/>
          <w:sz w:val="24"/>
          <w:szCs w:val="24"/>
          <w:lang w:val="en-US" w:eastAsia="zh-CN" w:bidi="ar-SA"/>
        </w:rPr>
      </w:pPr>
      <w:bookmarkStart w:id="3" w:name="_Toc31795"/>
      <w:r>
        <w:rPr>
          <w:rFonts w:hint="eastAsia" w:ascii="宋体" w:hAnsi="宋体" w:eastAsia="宋体" w:cstheme="minorBidi"/>
          <w:kern w:val="2"/>
          <w:sz w:val="24"/>
          <w:szCs w:val="24"/>
          <w:lang w:val="en-US" w:eastAsia="zh-CN" w:bidi="ar-SA"/>
        </w:rPr>
        <w:t>1.舱内电影院（约130人）：配备必要的扩声、灯光、LED屏视频等专业影音设备，音视频灯光系统要为乘客提供沉浸式、多元化的观影需求与服务，满足一些小型娱乐活动、小型会议、报告、宣讲、发布会等多功能需求。</w:t>
      </w:r>
    </w:p>
    <w:p>
      <w:pPr>
        <w:keepNext w:val="0"/>
        <w:keepLines w:val="0"/>
        <w:pageBreakBefore w:val="0"/>
        <w:widowControl w:val="0"/>
        <w:kinsoku/>
        <w:overflowPunct/>
        <w:autoSpaceDE/>
        <w:autoSpaceDN/>
        <w:bidi w:val="0"/>
        <w:spacing w:after="60" w:line="360" w:lineRule="auto"/>
        <w:ind w:firstLine="480" w:firstLineChars="200"/>
        <w:textAlignment w:val="auto"/>
        <w:rPr>
          <w:rFonts w:hint="eastAsia" w:ascii="宋体" w:hAnsi="宋体" w:eastAsia="宋体" w:cstheme="minorBidi"/>
          <w:kern w:val="2"/>
          <w:sz w:val="24"/>
          <w:szCs w:val="24"/>
          <w:lang w:val="en-US" w:eastAsia="zh-CN" w:bidi="ar-SA"/>
        </w:rPr>
      </w:pPr>
      <w:r>
        <w:rPr>
          <w:rFonts w:hint="eastAsia" w:ascii="宋体" w:hAnsi="宋体" w:eastAsia="宋体" w:cstheme="minorBidi"/>
          <w:kern w:val="2"/>
          <w:sz w:val="24"/>
          <w:szCs w:val="24"/>
          <w:lang w:val="en-US" w:eastAsia="zh-CN" w:bidi="ar-SA"/>
        </w:rPr>
        <w:t>2.</w:t>
      </w:r>
      <w:r>
        <w:rPr>
          <w:rFonts w:hint="default" w:ascii="宋体" w:hAnsi="宋体" w:eastAsia="宋体" w:cstheme="minorBidi"/>
          <w:kern w:val="2"/>
          <w:sz w:val="24"/>
          <w:szCs w:val="24"/>
          <w:lang w:val="en-US" w:eastAsia="zh-CN" w:bidi="ar-SA"/>
        </w:rPr>
        <w:t>KTV包房系统</w:t>
      </w:r>
      <w:r>
        <w:rPr>
          <w:rFonts w:hint="eastAsia" w:ascii="宋体" w:hAnsi="宋体" w:eastAsia="宋体" w:cstheme="minorBidi"/>
          <w:kern w:val="2"/>
          <w:sz w:val="24"/>
          <w:szCs w:val="24"/>
          <w:lang w:val="en-US" w:eastAsia="zh-CN" w:bidi="ar-SA"/>
        </w:rPr>
        <w:t>（两间）：配备必要的音屏灯光系统和专业点歌系统，满足常规KTV娱乐需要。</w:t>
      </w:r>
    </w:p>
    <w:p>
      <w:pPr>
        <w:keepNext w:val="0"/>
        <w:keepLines w:val="0"/>
        <w:pageBreakBefore w:val="0"/>
        <w:widowControl w:val="0"/>
        <w:kinsoku/>
        <w:overflowPunct/>
        <w:autoSpaceDE/>
        <w:autoSpaceDN/>
        <w:bidi w:val="0"/>
        <w:spacing w:after="60" w:line="360" w:lineRule="auto"/>
        <w:ind w:firstLine="480" w:firstLineChars="200"/>
        <w:textAlignment w:val="auto"/>
        <w:rPr>
          <w:rFonts w:hint="eastAsia" w:ascii="宋体" w:hAnsi="宋体" w:eastAsia="宋体" w:cstheme="minorBidi"/>
          <w:kern w:val="2"/>
          <w:sz w:val="24"/>
          <w:szCs w:val="24"/>
          <w:lang w:val="en-US" w:eastAsia="zh-CN" w:bidi="ar-SA"/>
        </w:rPr>
      </w:pPr>
      <w:r>
        <w:rPr>
          <w:rFonts w:hint="eastAsia" w:ascii="宋体" w:hAnsi="宋体" w:eastAsia="宋体" w:cstheme="minorBidi"/>
          <w:kern w:val="2"/>
          <w:sz w:val="24"/>
          <w:szCs w:val="24"/>
          <w:lang w:val="en-US" w:eastAsia="zh-CN" w:bidi="ar-SA"/>
        </w:rPr>
        <w:t>3.二层上甲板餐厅（244人）/三层游步甲板餐厅（204人)：配备必要的扩声设备和控制系统，具备播放背景音乐、讲解扩声功能，满足用餐时轻松音乐氛围兼具讲解需求。</w:t>
      </w:r>
    </w:p>
    <w:p>
      <w:pPr>
        <w:keepNext w:val="0"/>
        <w:keepLines w:val="0"/>
        <w:pageBreakBefore w:val="0"/>
        <w:widowControl w:val="0"/>
        <w:kinsoku/>
        <w:overflowPunct/>
        <w:autoSpaceDE/>
        <w:autoSpaceDN/>
        <w:bidi w:val="0"/>
        <w:spacing w:after="60" w:line="360" w:lineRule="auto"/>
        <w:ind w:firstLine="480" w:firstLineChars="200"/>
        <w:textAlignment w:val="auto"/>
        <w:rPr>
          <w:rFonts w:hint="eastAsia" w:ascii="宋体" w:hAnsi="宋体" w:eastAsia="宋体" w:cstheme="minorBidi"/>
          <w:kern w:val="2"/>
          <w:sz w:val="24"/>
          <w:szCs w:val="24"/>
          <w:lang w:val="en-US" w:eastAsia="zh-CN" w:bidi="ar-SA"/>
        </w:rPr>
      </w:pPr>
      <w:r>
        <w:rPr>
          <w:rFonts w:hint="eastAsia" w:ascii="宋体" w:hAnsi="宋体" w:eastAsia="宋体" w:cstheme="minorBidi"/>
          <w:kern w:val="2"/>
          <w:sz w:val="24"/>
          <w:szCs w:val="24"/>
          <w:lang w:val="en-US" w:eastAsia="zh-CN" w:bidi="ar-SA"/>
        </w:rPr>
        <w:t>4.</w:t>
      </w:r>
      <w:r>
        <w:rPr>
          <w:rFonts w:hint="default" w:ascii="宋体" w:hAnsi="宋体" w:eastAsia="宋体" w:cstheme="minorBidi"/>
          <w:kern w:val="2"/>
          <w:sz w:val="24"/>
          <w:szCs w:val="24"/>
          <w:lang w:val="en-US" w:eastAsia="zh-CN" w:bidi="ar-SA"/>
        </w:rPr>
        <w:t>游步甲板</w:t>
      </w:r>
      <w:r>
        <w:rPr>
          <w:rFonts w:hint="eastAsia" w:ascii="宋体" w:hAnsi="宋体" w:eastAsia="宋体" w:cstheme="minorBidi"/>
          <w:kern w:val="2"/>
          <w:sz w:val="24"/>
          <w:szCs w:val="24"/>
          <w:lang w:val="en-US" w:eastAsia="zh-CN" w:bidi="ar-SA"/>
        </w:rPr>
        <w:t>艏部</w:t>
      </w:r>
      <w:r>
        <w:rPr>
          <w:rFonts w:hint="default" w:ascii="宋体" w:hAnsi="宋体" w:eastAsia="宋体" w:cstheme="minorBidi"/>
          <w:kern w:val="2"/>
          <w:sz w:val="24"/>
          <w:szCs w:val="24"/>
          <w:lang w:val="en-US" w:eastAsia="zh-CN" w:bidi="ar-SA"/>
        </w:rPr>
        <w:t>露台观光区域</w:t>
      </w:r>
      <w:r>
        <w:rPr>
          <w:rFonts w:hint="eastAsia" w:ascii="宋体" w:hAnsi="宋体" w:eastAsia="宋体" w:cstheme="minorBidi"/>
          <w:kern w:val="2"/>
          <w:sz w:val="24"/>
          <w:szCs w:val="24"/>
          <w:lang w:val="en-US" w:eastAsia="zh-CN" w:bidi="ar-SA"/>
        </w:rPr>
        <w:t>：配备必要的扩声和灯光设备，具备播放背景音乐、讲解扩声功能，以及必要的灯光。</w:t>
      </w:r>
    </w:p>
    <w:p>
      <w:pPr>
        <w:keepNext w:val="0"/>
        <w:keepLines w:val="0"/>
        <w:pageBreakBefore w:val="0"/>
        <w:widowControl w:val="0"/>
        <w:kinsoku/>
        <w:overflowPunct/>
        <w:autoSpaceDE/>
        <w:autoSpaceDN/>
        <w:bidi w:val="0"/>
        <w:spacing w:after="60" w:line="360" w:lineRule="auto"/>
        <w:ind w:firstLine="480" w:firstLineChars="200"/>
        <w:textAlignment w:val="auto"/>
        <w:rPr>
          <w:rFonts w:hint="eastAsia" w:ascii="宋体" w:hAnsi="宋体" w:eastAsia="宋体" w:cstheme="minorBidi"/>
          <w:kern w:val="2"/>
          <w:sz w:val="24"/>
          <w:szCs w:val="24"/>
          <w:lang w:val="en-US" w:eastAsia="zh-CN" w:bidi="ar-SA"/>
        </w:rPr>
      </w:pPr>
      <w:r>
        <w:rPr>
          <w:rFonts w:hint="eastAsia" w:ascii="宋体" w:hAnsi="宋体" w:eastAsia="宋体" w:cstheme="minorBidi"/>
          <w:kern w:val="2"/>
          <w:sz w:val="24"/>
          <w:szCs w:val="24"/>
          <w:lang w:val="en-US" w:eastAsia="zh-CN" w:bidi="ar-SA"/>
        </w:rPr>
        <w:t>5.观景甲板特色餐厅：配备必要的扩声设备和控制系统，具备播放背景音乐、讲解扩声功能，满足用餐时轻松音乐氛围兼具讲解需求。</w:t>
      </w:r>
    </w:p>
    <w:p>
      <w:pPr>
        <w:keepNext w:val="0"/>
        <w:keepLines w:val="0"/>
        <w:pageBreakBefore w:val="0"/>
        <w:widowControl w:val="0"/>
        <w:kinsoku/>
        <w:overflowPunct/>
        <w:autoSpaceDE/>
        <w:autoSpaceDN/>
        <w:bidi w:val="0"/>
        <w:spacing w:after="60" w:line="360" w:lineRule="auto"/>
        <w:ind w:firstLine="480" w:firstLineChars="200"/>
        <w:textAlignment w:val="auto"/>
        <w:rPr>
          <w:rFonts w:hint="eastAsia" w:ascii="宋体" w:hAnsi="宋体" w:eastAsia="宋体" w:cstheme="minorBidi"/>
          <w:kern w:val="2"/>
          <w:sz w:val="24"/>
          <w:szCs w:val="24"/>
          <w:lang w:val="en-US" w:eastAsia="zh-CN" w:bidi="ar-SA"/>
        </w:rPr>
      </w:pPr>
      <w:r>
        <w:rPr>
          <w:rFonts w:hint="eastAsia" w:ascii="宋体" w:hAnsi="宋体" w:eastAsia="宋体" w:cstheme="minorBidi"/>
          <w:kern w:val="2"/>
          <w:sz w:val="24"/>
          <w:szCs w:val="24"/>
          <w:lang w:val="en-US" w:eastAsia="zh-CN" w:bidi="ar-SA"/>
        </w:rPr>
        <w:t>6.阳光甲板多功能厅（约300人）：配备必要的扩声、灯光、LED屏视频等专业影音灯光设备，音视频灯光系统要能够满足中型会议、培训、中小型文艺演出、中小型晚会、庆典、迎新会、答谢宴、高端酒会、鸡尾酒会、演讲、报告、宣讲、发布会、娱乐等活动。</w:t>
      </w:r>
    </w:p>
    <w:p>
      <w:pPr>
        <w:keepNext w:val="0"/>
        <w:keepLines w:val="0"/>
        <w:pageBreakBefore w:val="0"/>
        <w:widowControl w:val="0"/>
        <w:kinsoku/>
        <w:overflowPunct/>
        <w:autoSpaceDE/>
        <w:autoSpaceDN/>
        <w:bidi w:val="0"/>
        <w:spacing w:after="60" w:line="360" w:lineRule="auto"/>
        <w:ind w:firstLine="480" w:firstLineChars="200"/>
        <w:textAlignment w:val="auto"/>
        <w:rPr>
          <w:rFonts w:hint="eastAsia" w:ascii="宋体" w:hAnsi="宋体" w:eastAsia="宋体" w:cstheme="minorBidi"/>
          <w:kern w:val="2"/>
          <w:sz w:val="24"/>
          <w:szCs w:val="24"/>
          <w:lang w:val="en-US" w:eastAsia="zh-CN" w:bidi="ar-SA"/>
        </w:rPr>
      </w:pPr>
      <w:r>
        <w:rPr>
          <w:rFonts w:hint="eastAsia" w:ascii="宋体" w:hAnsi="宋体" w:eastAsia="宋体" w:cstheme="minorBidi"/>
          <w:kern w:val="2"/>
          <w:sz w:val="24"/>
          <w:szCs w:val="24"/>
          <w:lang w:val="en-US" w:eastAsia="zh-CN" w:bidi="ar-SA"/>
        </w:rPr>
        <w:t>7.顶棚甲板观光区域：配备必要的扩声设备和控制系统，具备播放背景音乐、讲解扩声功能。</w:t>
      </w:r>
    </w:p>
    <w:p>
      <w:pPr>
        <w:keepNext w:val="0"/>
        <w:keepLines w:val="0"/>
        <w:pageBreakBefore w:val="0"/>
        <w:widowControl w:val="0"/>
        <w:kinsoku/>
        <w:overflowPunct/>
        <w:autoSpaceDE/>
        <w:autoSpaceDN/>
        <w:bidi w:val="0"/>
        <w:spacing w:after="60" w:line="360" w:lineRule="auto"/>
        <w:ind w:firstLine="480" w:firstLineChars="200"/>
        <w:textAlignment w:val="auto"/>
        <w:rPr>
          <w:rFonts w:hint="eastAsia" w:ascii="宋体" w:hAnsi="宋体" w:eastAsia="宋体"/>
          <w:sz w:val="24"/>
          <w:szCs w:val="24"/>
        </w:rPr>
      </w:pPr>
      <w:r>
        <w:rPr>
          <w:rFonts w:hint="eastAsia" w:ascii="宋体" w:hAnsi="宋体" w:eastAsia="宋体" w:cstheme="minorBidi"/>
          <w:kern w:val="2"/>
          <w:sz w:val="24"/>
          <w:szCs w:val="24"/>
          <w:lang w:val="en-US" w:eastAsia="zh-CN" w:bidi="ar-SA"/>
        </w:rPr>
        <w:t>8.建设一套IP网络广播系统，分区共5路，第一路控制阳光甲板中厅（含客区过道）；第二路控制驾驶甲板中厅（含客区过道）；第三路控制观景甲板中厅（含客区过道）；第四路控制游步甲板中厅（含客区过道）；第五路控制上甲接待大厅（含客区过道）/主甲板中厅。从控制站（上甲板总服务台）对这5路既能够一起播放背景音乐和通知，也能够单独播放背景音乐和通知。</w:t>
      </w:r>
      <w:bookmarkEnd w:id="3"/>
    </w:p>
    <w:p>
      <w:pPr>
        <w:pStyle w:val="21"/>
        <w:keepNext w:val="0"/>
        <w:keepLines w:val="0"/>
        <w:pageBreakBefore w:val="0"/>
        <w:widowControl w:val="0"/>
        <w:numPr>
          <w:ilvl w:val="1"/>
          <w:numId w:val="0"/>
        </w:numPr>
        <w:kinsoku/>
        <w:overflowPunct/>
        <w:autoSpaceDE/>
        <w:autoSpaceDN/>
        <w:bidi w:val="0"/>
        <w:spacing w:line="360" w:lineRule="auto"/>
        <w:ind w:left="420" w:leftChars="200"/>
        <w:textAlignment w:val="auto"/>
        <w:rPr>
          <w:rFonts w:hint="eastAsia"/>
        </w:rPr>
      </w:pPr>
      <w:bookmarkStart w:id="4" w:name="_Toc17902"/>
      <w:r>
        <w:rPr>
          <w:rFonts w:hint="eastAsia"/>
        </w:rPr>
        <w:t>三、服务要求</w:t>
      </w:r>
      <w:bookmarkEnd w:id="4"/>
    </w:p>
    <w:p>
      <w:pPr>
        <w:pStyle w:val="22"/>
        <w:keepNext w:val="0"/>
        <w:keepLines w:val="0"/>
        <w:pageBreakBefore w:val="0"/>
        <w:widowControl w:val="0"/>
        <w:kinsoku/>
        <w:overflowPunct/>
        <w:autoSpaceDE/>
        <w:autoSpaceDN/>
        <w:bidi w:val="0"/>
        <w:spacing w:line="360" w:lineRule="auto"/>
        <w:ind w:firstLine="480"/>
        <w:textAlignment w:val="auto"/>
        <w:rPr>
          <w:rFonts w:hint="eastAsia"/>
        </w:rPr>
      </w:pPr>
      <w:r>
        <w:t>供应商应提供 7×24小时电话技术支持和故障申告服务。</w:t>
      </w:r>
    </w:p>
    <w:p>
      <w:pPr>
        <w:pStyle w:val="22"/>
        <w:keepNext w:val="0"/>
        <w:keepLines w:val="0"/>
        <w:pageBreakBefore w:val="0"/>
        <w:widowControl w:val="0"/>
        <w:kinsoku/>
        <w:overflowPunct/>
        <w:autoSpaceDE/>
        <w:autoSpaceDN/>
        <w:bidi w:val="0"/>
        <w:spacing w:line="360" w:lineRule="auto"/>
        <w:ind w:firstLine="480"/>
        <w:textAlignment w:val="auto"/>
        <w:rPr>
          <w:rFonts w:hint="eastAsia"/>
        </w:rPr>
      </w:pPr>
      <w:r>
        <w:t>供应商承诺对故障申告响应时间小于60分钟。</w:t>
      </w:r>
    </w:p>
    <w:p>
      <w:pPr>
        <w:pStyle w:val="22"/>
        <w:keepNext w:val="0"/>
        <w:keepLines w:val="0"/>
        <w:pageBreakBefore w:val="0"/>
        <w:widowControl w:val="0"/>
        <w:kinsoku/>
        <w:overflowPunct/>
        <w:autoSpaceDE/>
        <w:autoSpaceDN/>
        <w:bidi w:val="0"/>
        <w:spacing w:line="360" w:lineRule="auto"/>
        <w:ind w:firstLine="480"/>
        <w:textAlignment w:val="auto"/>
        <w:rPr>
          <w:rFonts w:hint="eastAsia"/>
        </w:rPr>
      </w:pPr>
      <w:r>
        <w:t>提供</w:t>
      </w:r>
      <w:r>
        <w:rPr>
          <w:rFonts w:hint="eastAsia"/>
        </w:rPr>
        <w:t>船舶营运过程中突发故障情况的</w:t>
      </w:r>
      <w:r>
        <w:t>应急</w:t>
      </w:r>
      <w:r>
        <w:rPr>
          <w:rFonts w:hint="eastAsia"/>
        </w:rPr>
        <w:t>处理措施：包含但不限于派遣人员跟船和异地上船服务、临时采用设备替代，</w:t>
      </w:r>
      <w:r>
        <w:t>实现问题的及时解决，减少对业务的影响。</w:t>
      </w:r>
    </w:p>
    <w:p>
      <w:pPr>
        <w:pStyle w:val="22"/>
        <w:keepNext w:val="0"/>
        <w:keepLines w:val="0"/>
        <w:pageBreakBefore w:val="0"/>
        <w:widowControl w:val="0"/>
        <w:kinsoku/>
        <w:overflowPunct/>
        <w:autoSpaceDE/>
        <w:autoSpaceDN/>
        <w:bidi w:val="0"/>
        <w:spacing w:line="360" w:lineRule="auto"/>
        <w:ind w:firstLine="480"/>
        <w:textAlignment w:val="auto"/>
        <w:rPr>
          <w:rFonts w:hint="eastAsia"/>
        </w:rPr>
      </w:pPr>
      <w:r>
        <w:t>供应商及时响应用户提出</w:t>
      </w:r>
      <w:r>
        <w:rPr>
          <w:rFonts w:hint="eastAsia"/>
        </w:rPr>
        <w:t>系统</w:t>
      </w:r>
      <w:r>
        <w:t>运行质量分析报告并提出优化建议。</w:t>
      </w:r>
    </w:p>
    <w:p>
      <w:pPr>
        <w:pStyle w:val="22"/>
        <w:keepNext w:val="0"/>
        <w:keepLines w:val="0"/>
        <w:pageBreakBefore w:val="0"/>
        <w:widowControl w:val="0"/>
        <w:kinsoku/>
        <w:overflowPunct/>
        <w:autoSpaceDE/>
        <w:autoSpaceDN/>
        <w:bidi w:val="0"/>
        <w:spacing w:line="360" w:lineRule="auto"/>
        <w:ind w:firstLine="480"/>
        <w:textAlignment w:val="auto"/>
        <w:rPr>
          <w:rFonts w:hint="eastAsia"/>
        </w:rPr>
      </w:pPr>
      <w:r>
        <w:rPr>
          <w:rFonts w:hint="eastAsia" w:cs="宋体"/>
        </w:rPr>
        <w:t>供应商提供的设备必须</w:t>
      </w:r>
      <w:r>
        <w:rPr>
          <w:rFonts w:hint="eastAsia" w:cs="宋体"/>
          <w:lang w:val="en-US" w:eastAsia="zh-CN"/>
        </w:rPr>
        <w:t>是原厂正品并提供</w:t>
      </w:r>
      <w:r>
        <w:rPr>
          <w:rFonts w:hint="eastAsia" w:cs="宋体"/>
        </w:rPr>
        <w:t>售后服务承诺。</w:t>
      </w:r>
    </w:p>
    <w:p>
      <w:pPr>
        <w:pStyle w:val="22"/>
        <w:keepNext w:val="0"/>
        <w:keepLines w:val="0"/>
        <w:pageBreakBefore w:val="0"/>
        <w:widowControl w:val="0"/>
        <w:kinsoku/>
        <w:overflowPunct/>
        <w:autoSpaceDE/>
        <w:autoSpaceDN/>
        <w:bidi w:val="0"/>
        <w:spacing w:line="360" w:lineRule="auto"/>
        <w:ind w:firstLine="480"/>
        <w:textAlignment w:val="auto"/>
        <w:rPr>
          <w:rFonts w:hint="eastAsia"/>
        </w:rPr>
      </w:pPr>
      <w:r>
        <w:rPr>
          <w:rFonts w:hint="eastAsia" w:cs="宋体"/>
        </w:rPr>
        <w:t>供应商提供的软件必须具备相关软件著作权。</w:t>
      </w:r>
      <w:bookmarkStart w:id="5" w:name="_Toc12301"/>
    </w:p>
    <w:p>
      <w:pPr>
        <w:pStyle w:val="22"/>
        <w:keepNext w:val="0"/>
        <w:keepLines w:val="0"/>
        <w:pageBreakBefore w:val="0"/>
        <w:widowControl w:val="0"/>
        <w:kinsoku/>
        <w:overflowPunct/>
        <w:autoSpaceDE/>
        <w:autoSpaceDN/>
        <w:bidi w:val="0"/>
        <w:spacing w:line="360" w:lineRule="auto"/>
        <w:ind w:firstLine="480"/>
        <w:textAlignment w:val="auto"/>
        <w:rPr>
          <w:rFonts w:hint="eastAsia" w:cs="宋体"/>
        </w:rPr>
      </w:pPr>
      <w:r>
        <w:rPr>
          <w:rFonts w:hint="eastAsia" w:cs="宋体"/>
        </w:rPr>
        <w:t>船舶出厂</w:t>
      </w:r>
      <w:r>
        <w:rPr>
          <w:rFonts w:hint="eastAsia" w:cs="宋体"/>
          <w:lang w:val="en-US" w:eastAsia="zh-CN"/>
        </w:rPr>
        <w:t>正式运营一个月内组织工程验收，验收合格之日</w:t>
      </w:r>
      <w:r>
        <w:rPr>
          <w:rFonts w:hint="eastAsia" w:cs="宋体"/>
        </w:rPr>
        <w:t>起</w:t>
      </w:r>
      <w:r>
        <w:rPr>
          <w:rFonts w:hint="eastAsia" w:cs="宋体"/>
          <w:lang w:val="en-US" w:eastAsia="zh-CN"/>
        </w:rPr>
        <w:t>2</w:t>
      </w:r>
      <w:r>
        <w:rPr>
          <w:rFonts w:hint="eastAsia" w:cs="宋体"/>
        </w:rPr>
        <w:t>年内，质保期内凡属产品质量（非人为）问题均由供货商负责无偿修理、更换。质保期满后长期提供技术支持服务</w:t>
      </w:r>
      <w:r>
        <w:rPr>
          <w:rFonts w:hint="eastAsia" w:cs="宋体"/>
          <w:lang w:eastAsia="zh-CN"/>
        </w:rPr>
        <w:t>、</w:t>
      </w:r>
      <w:r>
        <w:rPr>
          <w:rFonts w:hint="eastAsia" w:cs="宋体"/>
          <w:lang w:val="en-US" w:eastAsia="zh-CN"/>
        </w:rPr>
        <w:t>维修只收取成本费</w:t>
      </w:r>
      <w:r>
        <w:rPr>
          <w:rFonts w:hint="eastAsia" w:cs="宋体"/>
        </w:rPr>
        <w:t>。</w:t>
      </w:r>
    </w:p>
    <w:p>
      <w:pPr>
        <w:pStyle w:val="22"/>
        <w:keepNext w:val="0"/>
        <w:keepLines w:val="0"/>
        <w:pageBreakBefore w:val="0"/>
        <w:widowControl w:val="0"/>
        <w:kinsoku/>
        <w:overflowPunct/>
        <w:autoSpaceDE/>
        <w:autoSpaceDN/>
        <w:bidi w:val="0"/>
        <w:spacing w:line="360" w:lineRule="auto"/>
        <w:ind w:firstLine="480"/>
        <w:textAlignment w:val="auto"/>
      </w:pPr>
      <w:r>
        <w:rPr>
          <w:rFonts w:hint="eastAsia" w:cs="宋体"/>
        </w:rPr>
        <w:t>技术服务包括设备接线、使用培训、布置图拟制、系统图计、施工图、完工资料、线缆布置设计及数量计算等。</w:t>
      </w:r>
    </w:p>
    <w:p>
      <w:pPr>
        <w:pStyle w:val="22"/>
        <w:keepNext w:val="0"/>
        <w:keepLines w:val="0"/>
        <w:pageBreakBefore w:val="0"/>
        <w:widowControl w:val="0"/>
        <w:kinsoku/>
        <w:overflowPunct/>
        <w:autoSpaceDE/>
        <w:autoSpaceDN/>
        <w:bidi w:val="0"/>
        <w:spacing w:line="360" w:lineRule="auto"/>
        <w:ind w:firstLine="480"/>
        <w:textAlignment w:val="auto"/>
      </w:pPr>
      <w:r>
        <w:rPr>
          <w:rFonts w:hint="eastAsia" w:cs="宋体"/>
        </w:rPr>
        <w:t>供应商提供的设备与使用方应有完整交接。包含：系统使用权限、密码限制设置等。</w:t>
      </w:r>
    </w:p>
    <w:p>
      <w:pPr>
        <w:pStyle w:val="22"/>
        <w:keepNext w:val="0"/>
        <w:keepLines w:val="0"/>
        <w:pageBreakBefore w:val="0"/>
        <w:widowControl w:val="0"/>
        <w:kinsoku/>
        <w:overflowPunct/>
        <w:autoSpaceDE/>
        <w:autoSpaceDN/>
        <w:bidi w:val="0"/>
        <w:spacing w:line="360" w:lineRule="auto"/>
        <w:ind w:firstLine="480"/>
        <w:textAlignment w:val="auto"/>
        <w:rPr>
          <w:rFonts w:hint="eastAsia"/>
        </w:rPr>
      </w:pPr>
      <w:r>
        <w:rPr>
          <w:rFonts w:hint="eastAsia" w:cs="宋体"/>
        </w:rPr>
        <w:t>供应商负责对游轮使用部门及岸基管理部门的人员培训直至设备交付。</w:t>
      </w:r>
    </w:p>
    <w:p>
      <w:pPr>
        <w:pStyle w:val="22"/>
        <w:keepNext w:val="0"/>
        <w:keepLines w:val="0"/>
        <w:pageBreakBefore w:val="0"/>
        <w:widowControl w:val="0"/>
        <w:numPr>
          <w:ilvl w:val="2"/>
          <w:numId w:val="0"/>
        </w:numPr>
        <w:kinsoku/>
        <w:overflowPunct/>
        <w:autoSpaceDE/>
        <w:autoSpaceDN/>
        <w:bidi w:val="0"/>
        <w:spacing w:line="360" w:lineRule="auto"/>
        <w:ind w:firstLine="482" w:firstLineChars="200"/>
        <w:textAlignment w:val="auto"/>
        <w:rPr>
          <w:rFonts w:hint="eastAsia"/>
          <w:b/>
          <w:bCs/>
        </w:rPr>
      </w:pPr>
      <w:r>
        <w:rPr>
          <w:rFonts w:hint="eastAsia"/>
          <w:b/>
          <w:bCs/>
        </w:rPr>
        <w:t>四、履约能力</w:t>
      </w:r>
      <w:bookmarkEnd w:id="5"/>
    </w:p>
    <w:p>
      <w:pPr>
        <w:pStyle w:val="25"/>
        <w:keepNext w:val="0"/>
        <w:keepLines w:val="0"/>
        <w:pageBreakBefore w:val="0"/>
        <w:widowControl w:val="0"/>
        <w:numPr>
          <w:ilvl w:val="2"/>
          <w:numId w:val="5"/>
        </w:numPr>
        <w:kinsoku/>
        <w:overflowPunct/>
        <w:autoSpaceDE/>
        <w:autoSpaceDN/>
        <w:bidi w:val="0"/>
        <w:spacing w:line="360" w:lineRule="auto"/>
        <w:ind w:firstLine="482"/>
        <w:textAlignment w:val="auto"/>
        <w:rPr>
          <w:rFonts w:hint="eastAsia" w:ascii="宋体" w:hAnsi="宋体" w:eastAsia="宋体" w:cs="宋体"/>
          <w:snapToGrid w:val="0"/>
          <w:kern w:val="2"/>
          <w:sz w:val="24"/>
          <w:szCs w:val="24"/>
          <w:lang w:val="en-US" w:eastAsia="zh-CN" w:bidi="ar-SA"/>
        </w:rPr>
      </w:pPr>
      <w:r>
        <w:rPr>
          <w:rFonts w:hint="eastAsia" w:ascii="宋体" w:hAnsi="宋体" w:eastAsia="宋体" w:cs="宋体"/>
          <w:snapToGrid w:val="0"/>
          <w:kern w:val="2"/>
          <w:sz w:val="24"/>
          <w:szCs w:val="24"/>
          <w:lang w:val="en-US" w:eastAsia="zh-CN" w:bidi="ar-SA"/>
        </w:rPr>
        <w:t>供应商应具备履行合同相应的资质，以最终能够通过检查和验收，能够投入正常的生产和营运。</w:t>
      </w:r>
    </w:p>
    <w:p>
      <w:pPr>
        <w:pStyle w:val="22"/>
        <w:keepNext w:val="0"/>
        <w:keepLines w:val="0"/>
        <w:pageBreakBefore w:val="0"/>
        <w:widowControl w:val="0"/>
        <w:kinsoku/>
        <w:overflowPunct/>
        <w:autoSpaceDE/>
        <w:autoSpaceDN/>
        <w:bidi w:val="0"/>
        <w:spacing w:line="360" w:lineRule="auto"/>
        <w:ind w:firstLine="480"/>
        <w:textAlignment w:val="auto"/>
        <w:rPr>
          <w:rFonts w:hint="eastAsia" w:ascii="宋体" w:hAnsi="宋体" w:eastAsia="宋体" w:cs="宋体"/>
          <w:snapToGrid w:val="0"/>
          <w:kern w:val="2"/>
          <w:sz w:val="24"/>
          <w:szCs w:val="24"/>
          <w:lang w:val="en-US" w:eastAsia="zh-CN" w:bidi="ar-SA"/>
        </w:rPr>
      </w:pPr>
      <w:r>
        <w:rPr>
          <w:rFonts w:hint="eastAsia" w:ascii="宋体" w:hAnsi="宋体" w:eastAsia="宋体" w:cs="宋体"/>
          <w:snapToGrid w:val="0"/>
          <w:kern w:val="2"/>
          <w:sz w:val="24"/>
          <w:szCs w:val="24"/>
          <w:lang w:val="en-US" w:eastAsia="zh-CN" w:bidi="ar-SA"/>
        </w:rPr>
        <w:t>供应商具有履行合同所必需的专业技术人才，项目经理及主要技术人员（至少两名）。</w:t>
      </w:r>
    </w:p>
    <w:p>
      <w:pPr>
        <w:pStyle w:val="22"/>
        <w:keepNext w:val="0"/>
        <w:keepLines w:val="0"/>
        <w:pageBreakBefore w:val="0"/>
        <w:widowControl w:val="0"/>
        <w:numPr>
          <w:ilvl w:val="2"/>
          <w:numId w:val="0"/>
        </w:numPr>
        <w:kinsoku/>
        <w:overflowPunct/>
        <w:autoSpaceDE/>
        <w:autoSpaceDN/>
        <w:bidi w:val="0"/>
        <w:spacing w:line="360" w:lineRule="auto"/>
        <w:ind w:left="420" w:leftChars="200"/>
        <w:textAlignment w:val="auto"/>
        <w:rPr>
          <w:rFonts w:hint="eastAsia" w:ascii="宋体" w:hAnsi="宋体" w:eastAsia="宋体" w:cs="宋体"/>
          <w:snapToGrid w:val="0"/>
          <w:kern w:val="2"/>
          <w:sz w:val="24"/>
          <w:szCs w:val="24"/>
          <w:lang w:val="en-US" w:eastAsia="zh-CN" w:bidi="ar-SA"/>
        </w:rPr>
      </w:pPr>
      <w:r>
        <w:rPr>
          <w:rFonts w:hint="eastAsia" w:cs="宋体"/>
          <w:snapToGrid w:val="0"/>
          <w:kern w:val="2"/>
          <w:sz w:val="24"/>
          <w:szCs w:val="24"/>
          <w:lang w:val="en-US" w:eastAsia="zh-CN" w:bidi="ar-SA"/>
        </w:rPr>
        <w:t>3.</w:t>
      </w:r>
      <w:r>
        <w:rPr>
          <w:rFonts w:hint="eastAsia" w:ascii="宋体" w:hAnsi="宋体" w:eastAsia="宋体" w:cs="宋体"/>
          <w:snapToGrid w:val="0"/>
          <w:kern w:val="2"/>
          <w:sz w:val="24"/>
          <w:szCs w:val="24"/>
          <w:lang w:val="en-US" w:eastAsia="zh-CN" w:bidi="ar-SA"/>
        </w:rPr>
        <w:t>其他有利于项目实施的承诺或相关证书(由供应商根据采购项目性质自行提供)。</w:t>
      </w:r>
    </w:p>
    <w:p>
      <w:pPr>
        <w:pStyle w:val="22"/>
        <w:keepNext w:val="0"/>
        <w:keepLines w:val="0"/>
        <w:pageBreakBefore w:val="0"/>
        <w:widowControl w:val="0"/>
        <w:numPr>
          <w:ilvl w:val="2"/>
          <w:numId w:val="0"/>
        </w:numPr>
        <w:kinsoku/>
        <w:overflowPunct/>
        <w:autoSpaceDE/>
        <w:autoSpaceDN/>
        <w:bidi w:val="0"/>
        <w:spacing w:line="360" w:lineRule="auto"/>
        <w:ind w:firstLine="482" w:firstLineChars="200"/>
        <w:textAlignment w:val="auto"/>
        <w:rPr>
          <w:rFonts w:hint="eastAsia"/>
          <w:b/>
          <w:bCs/>
        </w:rPr>
      </w:pPr>
      <w:r>
        <w:rPr>
          <w:rFonts w:hint="eastAsia"/>
          <w:b/>
          <w:bCs/>
          <w:lang w:val="en-US" w:eastAsia="zh-CN"/>
        </w:rPr>
        <w:t>五、</w:t>
      </w:r>
      <w:r>
        <w:rPr>
          <w:rFonts w:hint="eastAsia"/>
          <w:b/>
          <w:bCs/>
        </w:rPr>
        <w:t>采购清单及技术参数要求</w:t>
      </w:r>
    </w:p>
    <w:p>
      <w:pPr>
        <w:pStyle w:val="21"/>
        <w:keepNext w:val="0"/>
        <w:keepLines w:val="0"/>
        <w:pageBreakBefore w:val="0"/>
        <w:widowControl w:val="0"/>
        <w:numPr>
          <w:ilvl w:val="1"/>
          <w:numId w:val="0"/>
        </w:numPr>
        <w:kinsoku/>
        <w:overflowPunct/>
        <w:autoSpaceDE/>
        <w:autoSpaceDN/>
        <w:bidi w:val="0"/>
        <w:spacing w:line="360" w:lineRule="auto"/>
        <w:ind w:firstLine="482" w:firstLineChars="200"/>
        <w:textAlignment w:val="auto"/>
        <w:rPr>
          <w:rFonts w:hint="default"/>
          <w:lang w:val="en-US" w:eastAsia="zh-CN"/>
        </w:rPr>
      </w:pPr>
      <w:r>
        <w:rPr>
          <w:rFonts w:hint="eastAsia"/>
          <w:lang w:val="en-US" w:eastAsia="zh-CN"/>
        </w:rPr>
        <w:t>见招标公告附件八：</w:t>
      </w:r>
      <w:r>
        <w:rPr>
          <w:rFonts w:hint="eastAsia"/>
        </w:rPr>
        <w:t>150米三峡游轮音视频灯光系统设备明细清单及技术参数要求</w:t>
      </w:r>
      <w:r>
        <w:rPr>
          <w:rFonts w:hint="eastAsia"/>
          <w:lang w:eastAsia="zh-CN"/>
        </w:rPr>
        <w:t>。</w:t>
      </w:r>
      <w:r>
        <w:rPr>
          <w:rFonts w:hint="eastAsia"/>
          <w:lang w:val="en-US" w:eastAsia="zh-CN"/>
        </w:rPr>
        <w:t>请特别注意技术参数细节要求，如顶棚甲板和露台区域音响的防护等级要求，必须完全满足。</w:t>
      </w:r>
    </w:p>
    <w:p>
      <w:pPr>
        <w:pStyle w:val="21"/>
        <w:keepNext w:val="0"/>
        <w:keepLines w:val="0"/>
        <w:pageBreakBefore w:val="0"/>
        <w:widowControl w:val="0"/>
        <w:numPr>
          <w:ilvl w:val="1"/>
          <w:numId w:val="0"/>
        </w:numPr>
        <w:kinsoku/>
        <w:overflowPunct/>
        <w:autoSpaceDE/>
        <w:autoSpaceDN/>
        <w:bidi w:val="0"/>
        <w:spacing w:line="360" w:lineRule="auto"/>
        <w:ind w:firstLine="482" w:firstLineChars="200"/>
        <w:textAlignment w:val="auto"/>
        <w:rPr>
          <w:rFonts w:hint="default"/>
          <w:lang w:val="en-US" w:eastAsia="zh-CN"/>
        </w:rPr>
      </w:pPr>
      <w:r>
        <w:rPr>
          <w:rFonts w:hint="eastAsia"/>
          <w:lang w:val="en-US" w:eastAsia="zh-CN"/>
        </w:rPr>
        <w:t>设备清单中有厂家推荐范围的产品必须在推</w:t>
      </w:r>
      <w:bookmarkStart w:id="6" w:name="_GoBack"/>
      <w:bookmarkEnd w:id="6"/>
      <w:r>
        <w:rPr>
          <w:rFonts w:hint="eastAsia"/>
          <w:lang w:val="en-US" w:eastAsia="zh-CN"/>
        </w:rPr>
        <w:t>荐范围内选择。</w:t>
      </w:r>
    </w:p>
    <w:p>
      <w:pPr>
        <w:pStyle w:val="21"/>
        <w:keepNext w:val="0"/>
        <w:keepLines w:val="0"/>
        <w:pageBreakBefore w:val="0"/>
        <w:widowControl w:val="0"/>
        <w:numPr>
          <w:ilvl w:val="1"/>
          <w:numId w:val="0"/>
        </w:numPr>
        <w:kinsoku/>
        <w:overflowPunct/>
        <w:autoSpaceDE/>
        <w:autoSpaceDN/>
        <w:bidi w:val="0"/>
        <w:spacing w:line="360" w:lineRule="auto"/>
        <w:ind w:firstLine="482" w:firstLineChars="200"/>
        <w:textAlignment w:val="auto"/>
        <w:rPr>
          <w:rFonts w:hint="eastAsia" w:hAnsi="仿宋" w:cs="仿宋"/>
          <w:kern w:val="0"/>
          <w:lang w:bidi="ar"/>
        </w:rPr>
      </w:pPr>
      <w:r>
        <w:rPr>
          <w:rFonts w:hint="eastAsia"/>
          <w:lang w:val="en-US" w:eastAsia="zh-CN"/>
        </w:rPr>
        <w:t>任何在清单中没有提及但系统正常运行使用所必须的附件、备件和辅材，供应商应无偿提供；供应商必须保证所提供的产品是全新的、没有使用过的，且为生产厂家原厂生产的产品；</w:t>
      </w:r>
      <w:r>
        <w:rPr>
          <w:rFonts w:hint="eastAsia" w:hAnsi="仿宋" w:cs="仿宋"/>
          <w:kern w:val="0"/>
          <w:lang w:bidi="ar"/>
        </w:rPr>
        <w:t>本技术协议必须实质性</w:t>
      </w:r>
      <w:r>
        <w:rPr>
          <w:rFonts w:hint="eastAsia" w:hAnsi="仿宋" w:cs="仿宋"/>
          <w:kern w:val="0"/>
          <w:lang w:val="en-US" w:eastAsia="zh-CN" w:bidi="ar"/>
        </w:rPr>
        <w:t>最低</w:t>
      </w:r>
      <w:r>
        <w:rPr>
          <w:rFonts w:hint="eastAsia" w:hAnsi="仿宋" w:cs="仿宋"/>
          <w:kern w:val="0"/>
          <w:lang w:bidi="ar"/>
        </w:rPr>
        <w:t>要求，必须全部满足，否则为无效响应。</w:t>
      </w:r>
    </w:p>
    <w:p>
      <w:pPr>
        <w:pStyle w:val="22"/>
        <w:keepNext w:val="0"/>
        <w:keepLines w:val="0"/>
        <w:pageBreakBefore w:val="0"/>
        <w:widowControl w:val="0"/>
        <w:numPr>
          <w:ilvl w:val="2"/>
          <w:numId w:val="0"/>
        </w:numPr>
        <w:kinsoku/>
        <w:overflowPunct/>
        <w:autoSpaceDE/>
        <w:autoSpaceDN/>
        <w:bidi w:val="0"/>
        <w:spacing w:line="360" w:lineRule="auto"/>
        <w:ind w:firstLine="482" w:firstLineChars="200"/>
        <w:textAlignment w:val="auto"/>
        <w:rPr>
          <w:rFonts w:hint="eastAsia"/>
          <w:b/>
          <w:bCs/>
          <w:lang w:val="en-US" w:eastAsia="zh-CN"/>
        </w:rPr>
      </w:pPr>
      <w:r>
        <w:rPr>
          <w:rFonts w:hint="eastAsia"/>
          <w:b/>
          <w:bCs/>
          <w:lang w:val="en-US" w:eastAsia="zh-CN"/>
        </w:rPr>
        <w:t>六、其他</w:t>
      </w:r>
    </w:p>
    <w:p>
      <w:pPr>
        <w:pStyle w:val="25"/>
        <w:keepNext w:val="0"/>
        <w:keepLines w:val="0"/>
        <w:pageBreakBefore w:val="0"/>
        <w:widowControl w:val="0"/>
        <w:numPr>
          <w:ilvl w:val="0"/>
          <w:numId w:val="0"/>
        </w:numPr>
        <w:kinsoku/>
        <w:overflowPunct/>
        <w:autoSpaceDE/>
        <w:autoSpaceDN/>
        <w:bidi w:val="0"/>
        <w:spacing w:line="360" w:lineRule="auto"/>
        <w:ind w:leftChars="200"/>
        <w:textAlignment w:val="auto"/>
        <w:rPr>
          <w:rFonts w:hint="eastAsia" w:ascii="宋体" w:hAnsi="宋体" w:eastAsia="宋体" w:cs="宋体"/>
          <w:snapToGrid w:val="0"/>
          <w:kern w:val="2"/>
          <w:sz w:val="24"/>
          <w:szCs w:val="24"/>
          <w:lang w:val="en-US" w:eastAsia="zh-CN" w:bidi="ar-SA"/>
        </w:rPr>
      </w:pPr>
      <w:r>
        <w:rPr>
          <w:rFonts w:hint="eastAsia" w:cs="宋体"/>
          <w:snapToGrid w:val="0"/>
          <w:kern w:val="2"/>
          <w:sz w:val="24"/>
          <w:szCs w:val="24"/>
          <w:lang w:val="en-US" w:eastAsia="zh-CN" w:bidi="ar-SA"/>
        </w:rPr>
        <w:t>1.</w:t>
      </w:r>
      <w:r>
        <w:rPr>
          <w:rFonts w:hint="eastAsia" w:ascii="宋体" w:hAnsi="宋体" w:eastAsia="宋体" w:cs="宋体"/>
          <w:snapToGrid w:val="0"/>
          <w:kern w:val="2"/>
          <w:sz w:val="24"/>
          <w:szCs w:val="24"/>
          <w:lang w:val="en-US" w:eastAsia="zh-CN" w:bidi="ar-SA"/>
        </w:rPr>
        <w:t>其他未尽事宜由各方友好协商解决。</w:t>
      </w:r>
    </w:p>
    <w:p>
      <w:pPr>
        <w:pStyle w:val="25"/>
        <w:keepNext w:val="0"/>
        <w:keepLines w:val="0"/>
        <w:pageBreakBefore w:val="0"/>
        <w:widowControl w:val="0"/>
        <w:numPr>
          <w:ilvl w:val="0"/>
          <w:numId w:val="0"/>
        </w:numPr>
        <w:kinsoku/>
        <w:overflowPunct/>
        <w:autoSpaceDE/>
        <w:autoSpaceDN/>
        <w:bidi w:val="0"/>
        <w:spacing w:line="360" w:lineRule="auto"/>
        <w:ind w:leftChars="200"/>
        <w:textAlignment w:val="auto"/>
        <w:rPr>
          <w:rFonts w:hint="eastAsia" w:ascii="宋体" w:hAnsi="宋体" w:eastAsia="宋体" w:cs="宋体"/>
          <w:snapToGrid w:val="0"/>
          <w:kern w:val="2"/>
          <w:sz w:val="24"/>
          <w:szCs w:val="24"/>
          <w:lang w:val="en-US" w:eastAsia="zh-CN" w:bidi="ar-SA"/>
        </w:rPr>
      </w:pPr>
      <w:r>
        <w:rPr>
          <w:rFonts w:hint="eastAsia" w:cs="宋体"/>
          <w:snapToGrid w:val="0"/>
          <w:kern w:val="2"/>
          <w:sz w:val="24"/>
          <w:szCs w:val="24"/>
          <w:lang w:val="en-US" w:eastAsia="zh-CN" w:bidi="ar-SA"/>
        </w:rPr>
        <w:t>2.</w:t>
      </w:r>
      <w:r>
        <w:rPr>
          <w:rFonts w:hint="eastAsia" w:ascii="宋体" w:hAnsi="宋体" w:eastAsia="宋体" w:cs="宋体"/>
          <w:snapToGrid w:val="0"/>
          <w:kern w:val="2"/>
          <w:sz w:val="24"/>
          <w:szCs w:val="24"/>
          <w:lang w:val="en-US" w:eastAsia="zh-CN" w:bidi="ar-SA"/>
        </w:rPr>
        <w:t>该技术协议作为商务合同的附属协议，与商务合同同时生效。</w:t>
      </w:r>
    </w:p>
    <w:p>
      <w:pPr>
        <w:pStyle w:val="25"/>
        <w:keepNext w:val="0"/>
        <w:keepLines w:val="0"/>
        <w:pageBreakBefore w:val="0"/>
        <w:widowControl w:val="0"/>
        <w:numPr>
          <w:ilvl w:val="0"/>
          <w:numId w:val="0"/>
        </w:numPr>
        <w:kinsoku/>
        <w:overflowPunct/>
        <w:autoSpaceDE/>
        <w:autoSpaceDN/>
        <w:bidi w:val="0"/>
        <w:spacing w:line="360" w:lineRule="auto"/>
        <w:ind w:leftChars="200"/>
        <w:textAlignment w:val="auto"/>
        <w:rPr>
          <w:rFonts w:hint="eastAsia" w:ascii="宋体" w:hAnsi="宋体" w:eastAsia="宋体" w:cs="宋体"/>
          <w:snapToGrid w:val="0"/>
          <w:kern w:val="2"/>
          <w:sz w:val="24"/>
          <w:szCs w:val="24"/>
          <w:lang w:val="en-US" w:eastAsia="zh-CN" w:bidi="ar-SA"/>
        </w:rPr>
      </w:pPr>
      <w:r>
        <w:rPr>
          <w:rFonts w:hint="eastAsia" w:cs="宋体"/>
          <w:snapToGrid w:val="0"/>
          <w:kern w:val="2"/>
          <w:sz w:val="24"/>
          <w:szCs w:val="24"/>
          <w:lang w:val="en-US" w:eastAsia="zh-CN" w:bidi="ar-SA"/>
        </w:rPr>
        <w:t>3.</w:t>
      </w:r>
      <w:r>
        <w:rPr>
          <w:rFonts w:hint="eastAsia" w:ascii="宋体" w:hAnsi="宋体" w:eastAsia="宋体" w:cs="宋体"/>
          <w:snapToGrid w:val="0"/>
          <w:kern w:val="2"/>
          <w:sz w:val="24"/>
          <w:szCs w:val="24"/>
          <w:lang w:val="en-US" w:eastAsia="zh-CN" w:bidi="ar-SA"/>
        </w:rPr>
        <w:t>本协议一式三份，供应商、船东、船厂各持一份，经各方签字后生效。</w:t>
      </w:r>
    </w:p>
    <w:sectPr>
      <w:headerReference r:id="rId3" w:type="default"/>
      <w:pgSz w:w="11906" w:h="16838"/>
      <w:pgMar w:top="1361" w:right="1361" w:bottom="1361"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rP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18</w:t>
                          </w:r>
                          <w:r>
                            <w:fldChar w:fldCharType="end"/>
                          </w:r>
                          <w: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11"/>
                      <w:rPr>
                        <w:rFonts w:hint="eastAsia"/>
                      </w:rPr>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18</w:t>
                    </w:r>
                    <w:r>
                      <w:fldChar w:fldCharType="end"/>
                    </w:r>
                    <w:r>
                      <w:t xml:space="preserve"> 页</w:t>
                    </w:r>
                  </w:p>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04D8E0A"/>
    <w:multiLevelType w:val="multilevel"/>
    <w:tmpl w:val="B04D8E0A"/>
    <w:lvl w:ilvl="0" w:tentative="0">
      <w:start w:val="1"/>
      <w:numFmt w:val="chineseCounting"/>
      <w:pStyle w:val="27"/>
      <w:suff w:val="nothing"/>
      <w:lvlText w:val="第%1章 "/>
      <w:lvlJc w:val="left"/>
      <w:pPr>
        <w:tabs>
          <w:tab w:val="left" w:pos="0"/>
        </w:tabs>
        <w:ind w:left="0" w:firstLine="0"/>
      </w:pPr>
      <w:rPr>
        <w:rFonts w:hint="eastAsia" w:ascii="宋体" w:hAnsi="宋体" w:eastAsia="宋体" w:cs="宋体"/>
      </w:rPr>
    </w:lvl>
    <w:lvl w:ilvl="1" w:tentative="0">
      <w:start w:val="1"/>
      <w:numFmt w:val="chineseCounting"/>
      <w:pStyle w:val="21"/>
      <w:suff w:val="nothing"/>
      <w:lvlText w:val="%2、"/>
      <w:lvlJc w:val="left"/>
      <w:pPr>
        <w:ind w:left="709" w:firstLine="0"/>
      </w:pPr>
      <w:rPr>
        <w:rFonts w:hint="eastAsia" w:ascii="宋体" w:hAnsi="宋体" w:eastAsia="宋体" w:cs="宋体"/>
        <w:lang w:val="en-US"/>
      </w:rPr>
    </w:lvl>
    <w:lvl w:ilvl="2" w:tentative="0">
      <w:start w:val="1"/>
      <w:numFmt w:val="chineseCounting"/>
      <w:pStyle w:val="28"/>
      <w:suff w:val="nothing"/>
      <w:lvlText w:val="(%3)"/>
      <w:lvlJc w:val="left"/>
      <w:pPr>
        <w:tabs>
          <w:tab w:val="left" w:pos="0"/>
        </w:tabs>
        <w:ind w:left="0" w:firstLine="0"/>
      </w:pPr>
      <w:rPr>
        <w:rFonts w:hint="eastAsia" w:ascii="宋体" w:hAnsi="宋体" w:eastAsia="宋体" w:cs="宋体"/>
      </w:rPr>
    </w:lvl>
    <w:lvl w:ilvl="3" w:tentative="0">
      <w:start w:val="1"/>
      <w:numFmt w:val="decimal"/>
      <w:pStyle w:val="33"/>
      <w:suff w:val="nothing"/>
      <w:lvlText w:val="%4."/>
      <w:lvlJc w:val="left"/>
      <w:pPr>
        <w:tabs>
          <w:tab w:val="left" w:pos="0"/>
        </w:tabs>
        <w:ind w:left="0" w:firstLine="0"/>
      </w:pPr>
      <w:rPr>
        <w:rFonts w:hint="eastAsia" w:ascii="宋体" w:hAnsi="宋体" w:eastAsia="宋体" w:cs="宋体"/>
      </w:rPr>
    </w:lvl>
    <w:lvl w:ilvl="4" w:tentative="0">
      <w:start w:val="1"/>
      <w:numFmt w:val="decimal"/>
      <w:pStyle w:val="34"/>
      <w:suff w:val="nothing"/>
      <w:lvlText w:val="%4.%5"/>
      <w:lvlJc w:val="left"/>
      <w:pPr>
        <w:ind w:left="0" w:firstLine="0"/>
      </w:pPr>
      <w:rPr>
        <w:rFonts w:hint="eastAsia" w:ascii="宋体" w:hAnsi="宋体" w:eastAsia="宋体" w:cs="宋体"/>
      </w:rPr>
    </w:lvl>
    <w:lvl w:ilvl="5" w:tentative="0">
      <w:start w:val="1"/>
      <w:numFmt w:val="decimal"/>
      <w:pStyle w:val="35"/>
      <w:suff w:val="nothing"/>
      <w:lvlText w:val="(%6)"/>
      <w:lvlJc w:val="left"/>
      <w:pPr>
        <w:ind w:left="0" w:firstLine="0"/>
      </w:pPr>
      <w:rPr>
        <w:rFonts w:hint="eastAsia" w:ascii="宋体" w:hAnsi="宋体" w:eastAsia="宋体" w:cs="宋体"/>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DAF42E28"/>
    <w:multiLevelType w:val="singleLevel"/>
    <w:tmpl w:val="DAF42E28"/>
    <w:lvl w:ilvl="0" w:tentative="0">
      <w:start w:val="2"/>
      <w:numFmt w:val="chineseCounting"/>
      <w:suff w:val="nothing"/>
      <w:lvlText w:val="%1、"/>
      <w:lvlJc w:val="left"/>
      <w:rPr>
        <w:rFonts w:hint="eastAsia"/>
      </w:rPr>
    </w:lvl>
  </w:abstractNum>
  <w:abstractNum w:abstractNumId="2">
    <w:nsid w:val="E1C6327C"/>
    <w:multiLevelType w:val="multilevel"/>
    <w:tmpl w:val="E1C6327C"/>
    <w:lvl w:ilvl="0" w:tentative="0">
      <w:start w:val="1"/>
      <w:numFmt w:val="chineseCounting"/>
      <w:suff w:val="nothing"/>
      <w:lvlText w:val="%1、"/>
      <w:lvlJc w:val="left"/>
      <w:pPr>
        <w:tabs>
          <w:tab w:val="left" w:pos="0"/>
        </w:tabs>
        <w:ind w:left="0" w:firstLine="0"/>
      </w:pPr>
      <w:rPr>
        <w:rFonts w:hint="eastAsia" w:ascii="宋体" w:hAnsi="宋体" w:eastAsia="宋体" w:cs="宋体"/>
      </w:rPr>
    </w:lvl>
    <w:lvl w:ilvl="1" w:tentative="0">
      <w:start w:val="1"/>
      <w:numFmt w:val="chineseCounting"/>
      <w:pStyle w:val="20"/>
      <w:suff w:val="nothing"/>
      <w:lvlText w:val="(%2)"/>
      <w:lvlJc w:val="left"/>
      <w:pPr>
        <w:ind w:left="0" w:firstLine="0"/>
      </w:pPr>
      <w:rPr>
        <w:rFonts w:hint="eastAsia" w:ascii="宋体" w:hAnsi="宋体" w:eastAsia="宋体" w:cs="宋体"/>
      </w:rPr>
    </w:lvl>
    <w:lvl w:ilvl="2" w:tentative="0">
      <w:start w:val="1"/>
      <w:numFmt w:val="decimal"/>
      <w:pStyle w:val="22"/>
      <w:suff w:val="nothing"/>
      <w:lvlText w:val="%3."/>
      <w:lvlJc w:val="left"/>
      <w:pPr>
        <w:ind w:left="0" w:firstLine="0"/>
      </w:pPr>
      <w:rPr>
        <w:rFonts w:hint="eastAsia" w:ascii="宋体" w:hAnsi="宋体" w:eastAsia="宋体" w:cs="宋体"/>
      </w:rPr>
    </w:lvl>
    <w:lvl w:ilvl="3" w:tentative="0">
      <w:start w:val="1"/>
      <w:numFmt w:val="decimal"/>
      <w:pStyle w:val="23"/>
      <w:suff w:val="nothing"/>
      <w:lvlText w:val="%3.%4"/>
      <w:lvlJc w:val="left"/>
      <w:pPr>
        <w:ind w:left="0" w:firstLine="0"/>
      </w:pPr>
      <w:rPr>
        <w:rFonts w:hint="eastAsia" w:ascii="宋体" w:hAnsi="宋体" w:eastAsia="宋体" w:cs="宋体"/>
      </w:rPr>
    </w:lvl>
    <w:lvl w:ilvl="4" w:tentative="0">
      <w:start w:val="1"/>
      <w:numFmt w:val="decimal"/>
      <w:pStyle w:val="24"/>
      <w:suff w:val="nothing"/>
      <w:lvlText w:val="(%5)"/>
      <w:lvlJc w:val="left"/>
      <w:pPr>
        <w:ind w:left="0" w:firstLine="0"/>
      </w:pPr>
      <w:rPr>
        <w:rFonts w:hint="eastAsia" w:ascii="宋体" w:hAnsi="宋体" w:eastAsia="宋体" w:cs="宋体"/>
      </w:rPr>
    </w:lvl>
    <w:lvl w:ilvl="5" w:tentative="0">
      <w:start w:val="1"/>
      <w:numFmt w:val="decimal"/>
      <w:pStyle w:val="5"/>
      <w:suff w:val="nothing"/>
      <w:lvlText w:val="%6）"/>
      <w:lvlJc w:val="left"/>
      <w:pPr>
        <w:ind w:left="0" w:firstLine="402"/>
      </w:pPr>
      <w:rPr>
        <w:rFonts w:hint="eastAsia"/>
      </w:rPr>
    </w:lvl>
    <w:lvl w:ilvl="6" w:tentative="0">
      <w:start w:val="1"/>
      <w:numFmt w:val="lowerLetter"/>
      <w:pStyle w:val="6"/>
      <w:suff w:val="nothing"/>
      <w:lvlText w:val="%7．"/>
      <w:lvlJc w:val="left"/>
      <w:pPr>
        <w:ind w:left="0" w:firstLine="402"/>
      </w:pPr>
      <w:rPr>
        <w:rFonts w:hint="eastAsia"/>
      </w:rPr>
    </w:lvl>
    <w:lvl w:ilvl="7" w:tentative="0">
      <w:start w:val="1"/>
      <w:numFmt w:val="lowerLetter"/>
      <w:pStyle w:val="7"/>
      <w:suff w:val="nothing"/>
      <w:lvlText w:val="%8）"/>
      <w:lvlJc w:val="left"/>
      <w:pPr>
        <w:ind w:left="0" w:firstLine="402"/>
      </w:pPr>
      <w:rPr>
        <w:rFonts w:hint="eastAsia"/>
      </w:rPr>
    </w:lvl>
    <w:lvl w:ilvl="8" w:tentative="0">
      <w:start w:val="1"/>
      <w:numFmt w:val="lowerRoman"/>
      <w:pStyle w:val="8"/>
      <w:suff w:val="nothing"/>
      <w:lvlText w:val="%9 "/>
      <w:lvlJc w:val="left"/>
      <w:pPr>
        <w:ind w:left="0" w:firstLine="402"/>
      </w:pPr>
      <w:rPr>
        <w:rFonts w:hint="eastAsia"/>
      </w:rPr>
    </w:lvl>
  </w:abstractNum>
  <w:abstractNum w:abstractNumId="3">
    <w:nsid w:val="78C85BBF"/>
    <w:multiLevelType w:val="multilevel"/>
    <w:tmpl w:val="78C85BBF"/>
    <w:lvl w:ilvl="0" w:tentative="0">
      <w:start w:val="1"/>
      <w:numFmt w:val="decimal"/>
      <w:lvlText w:val="%1."/>
      <w:lvlJc w:val="left"/>
      <w:pPr>
        <w:ind w:left="420" w:hanging="420"/>
      </w:pPr>
      <w:rPr>
        <w:rFonts w:hint="default" w:ascii="Arial" w:hAnsi="Arial" w:cs="Arial"/>
      </w:rPr>
    </w:lvl>
    <w:lvl w:ilvl="1" w:tentative="0">
      <w:start w:val="1"/>
      <w:numFmt w:val="decimal"/>
      <w:pStyle w:val="39"/>
      <w:isLgl/>
      <w:lvlText w:val="%1.%2"/>
      <w:lvlJc w:val="left"/>
      <w:pPr>
        <w:ind w:left="-273" w:hanging="720"/>
      </w:pPr>
    </w:lvl>
    <w:lvl w:ilvl="2" w:tentative="0">
      <w:start w:val="1"/>
      <w:numFmt w:val="decimal"/>
      <w:isLgl/>
      <w:lvlText w:val="%1.%2.%3"/>
      <w:lvlJc w:val="left"/>
      <w:pPr>
        <w:ind w:left="153" w:hanging="1146"/>
      </w:pPr>
      <w:rPr>
        <w:rFonts w:hint="default" w:ascii="Arial" w:hAnsi="Arial" w:cs="Arial"/>
        <w:b/>
      </w:rPr>
    </w:lvl>
    <w:lvl w:ilvl="3" w:tentative="0">
      <w:start w:val="1"/>
      <w:numFmt w:val="decimal"/>
      <w:isLgl/>
      <w:lvlText w:val="%1.%2.%3.%4"/>
      <w:lvlJc w:val="left"/>
      <w:pPr>
        <w:ind w:left="87" w:hanging="1080"/>
      </w:pPr>
      <w:rPr>
        <w:rFonts w:hint="default" w:cs="Times New Roman"/>
        <w:sz w:val="28"/>
      </w:rPr>
    </w:lvl>
    <w:lvl w:ilvl="4" w:tentative="0">
      <w:start w:val="1"/>
      <w:numFmt w:val="decimal"/>
      <w:isLgl/>
      <w:lvlText w:val="%1.%2.%3.%4.%5"/>
      <w:lvlJc w:val="left"/>
      <w:pPr>
        <w:ind w:left="447" w:hanging="1440"/>
      </w:pPr>
      <w:rPr>
        <w:rFonts w:hint="default" w:cs="Times New Roman"/>
      </w:rPr>
    </w:lvl>
    <w:lvl w:ilvl="5" w:tentative="0">
      <w:start w:val="1"/>
      <w:numFmt w:val="decimal"/>
      <w:isLgl/>
      <w:lvlText w:val="%1.%2.%3.%4.%5.%6"/>
      <w:lvlJc w:val="left"/>
      <w:pPr>
        <w:ind w:left="807" w:hanging="1800"/>
      </w:pPr>
      <w:rPr>
        <w:rFonts w:hint="default" w:cs="Times New Roman"/>
      </w:rPr>
    </w:lvl>
    <w:lvl w:ilvl="6" w:tentative="0">
      <w:start w:val="1"/>
      <w:numFmt w:val="decimal"/>
      <w:isLgl/>
      <w:lvlText w:val="%1.%2.%3.%4.%5.%6.%7"/>
      <w:lvlJc w:val="left"/>
      <w:pPr>
        <w:ind w:left="807" w:hanging="1800"/>
      </w:pPr>
      <w:rPr>
        <w:rFonts w:hint="default" w:cs="Times New Roman"/>
      </w:rPr>
    </w:lvl>
    <w:lvl w:ilvl="7" w:tentative="0">
      <w:start w:val="1"/>
      <w:numFmt w:val="decimal"/>
      <w:isLgl/>
      <w:lvlText w:val="%1.%2.%3.%4.%5.%6.%7.%8"/>
      <w:lvlJc w:val="left"/>
      <w:pPr>
        <w:ind w:left="1167" w:hanging="2160"/>
      </w:pPr>
      <w:rPr>
        <w:rFonts w:hint="default" w:cs="Times New Roman"/>
      </w:rPr>
    </w:lvl>
    <w:lvl w:ilvl="8" w:tentative="0">
      <w:start w:val="1"/>
      <w:numFmt w:val="decimal"/>
      <w:isLgl/>
      <w:lvlText w:val="%1.%2.%3.%4.%5.%6.%7.%8.%9"/>
      <w:lvlJc w:val="left"/>
      <w:pPr>
        <w:ind w:left="1527" w:hanging="2520"/>
      </w:pPr>
      <w:rPr>
        <w:rFonts w:hint="default" w:cs="Times New Roman"/>
      </w:rPr>
    </w:lvl>
  </w:abstractNum>
  <w:num w:numId="1">
    <w:abstractNumId w:val="2"/>
  </w:num>
  <w:num w:numId="2">
    <w:abstractNumId w:val="0"/>
  </w:num>
  <w:num w:numId="3">
    <w:abstractNumId w:val="3"/>
  </w:num>
  <w:num w:numId="4">
    <w:abstractNumId w:val="1"/>
  </w:num>
  <w:num w:numId="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131D6"/>
    <w:rsid w:val="00056A05"/>
    <w:rsid w:val="000817C3"/>
    <w:rsid w:val="000A1CB6"/>
    <w:rsid w:val="000A332C"/>
    <w:rsid w:val="000C5388"/>
    <w:rsid w:val="000F3794"/>
    <w:rsid w:val="000F62ED"/>
    <w:rsid w:val="001B1D06"/>
    <w:rsid w:val="001C0C27"/>
    <w:rsid w:val="00234FBD"/>
    <w:rsid w:val="00235365"/>
    <w:rsid w:val="00236044"/>
    <w:rsid w:val="00246AFE"/>
    <w:rsid w:val="002625C8"/>
    <w:rsid w:val="002B6EEE"/>
    <w:rsid w:val="002E6B71"/>
    <w:rsid w:val="003128E7"/>
    <w:rsid w:val="003173ED"/>
    <w:rsid w:val="00322DE0"/>
    <w:rsid w:val="0032448A"/>
    <w:rsid w:val="00326C7D"/>
    <w:rsid w:val="00373B9B"/>
    <w:rsid w:val="00377D3F"/>
    <w:rsid w:val="0044025D"/>
    <w:rsid w:val="00443036"/>
    <w:rsid w:val="0047283C"/>
    <w:rsid w:val="004A24E7"/>
    <w:rsid w:val="004B0873"/>
    <w:rsid w:val="004C2F51"/>
    <w:rsid w:val="004C3265"/>
    <w:rsid w:val="00591A63"/>
    <w:rsid w:val="005A4D33"/>
    <w:rsid w:val="005F7399"/>
    <w:rsid w:val="006059C3"/>
    <w:rsid w:val="006111F8"/>
    <w:rsid w:val="00615858"/>
    <w:rsid w:val="006422BE"/>
    <w:rsid w:val="00663844"/>
    <w:rsid w:val="0068305B"/>
    <w:rsid w:val="00694457"/>
    <w:rsid w:val="006C67D6"/>
    <w:rsid w:val="006E5F7F"/>
    <w:rsid w:val="00704D8B"/>
    <w:rsid w:val="007818B3"/>
    <w:rsid w:val="0083560D"/>
    <w:rsid w:val="00852FAC"/>
    <w:rsid w:val="0085466A"/>
    <w:rsid w:val="00855BC3"/>
    <w:rsid w:val="0086616F"/>
    <w:rsid w:val="00893649"/>
    <w:rsid w:val="008C50D5"/>
    <w:rsid w:val="008E43A5"/>
    <w:rsid w:val="008E5417"/>
    <w:rsid w:val="009D1A3D"/>
    <w:rsid w:val="009E3039"/>
    <w:rsid w:val="00A00345"/>
    <w:rsid w:val="00A57499"/>
    <w:rsid w:val="00A86E6F"/>
    <w:rsid w:val="00A93746"/>
    <w:rsid w:val="00A94D48"/>
    <w:rsid w:val="00AA548A"/>
    <w:rsid w:val="00B255B5"/>
    <w:rsid w:val="00B26A4A"/>
    <w:rsid w:val="00B61B1B"/>
    <w:rsid w:val="00B66122"/>
    <w:rsid w:val="00B77534"/>
    <w:rsid w:val="00B95EBA"/>
    <w:rsid w:val="00BD7B20"/>
    <w:rsid w:val="00C55FB3"/>
    <w:rsid w:val="00C90E8F"/>
    <w:rsid w:val="00D1749B"/>
    <w:rsid w:val="00D20153"/>
    <w:rsid w:val="00D41BE3"/>
    <w:rsid w:val="00D436F5"/>
    <w:rsid w:val="00D71E5F"/>
    <w:rsid w:val="00D91073"/>
    <w:rsid w:val="00D952B3"/>
    <w:rsid w:val="00DB23E0"/>
    <w:rsid w:val="00DF612E"/>
    <w:rsid w:val="00E24B5A"/>
    <w:rsid w:val="00EB2E08"/>
    <w:rsid w:val="00EF4B5C"/>
    <w:rsid w:val="00F61C08"/>
    <w:rsid w:val="00F946B6"/>
    <w:rsid w:val="00FD027C"/>
    <w:rsid w:val="00FD7EE2"/>
    <w:rsid w:val="01123AAD"/>
    <w:rsid w:val="01BE3BEC"/>
    <w:rsid w:val="02320327"/>
    <w:rsid w:val="02CD5A7F"/>
    <w:rsid w:val="045028A0"/>
    <w:rsid w:val="04CE5ACF"/>
    <w:rsid w:val="06C43629"/>
    <w:rsid w:val="06F3036F"/>
    <w:rsid w:val="07534192"/>
    <w:rsid w:val="093C6476"/>
    <w:rsid w:val="09CA2ED4"/>
    <w:rsid w:val="0A001140"/>
    <w:rsid w:val="0A565A53"/>
    <w:rsid w:val="0A6F565E"/>
    <w:rsid w:val="0A83110A"/>
    <w:rsid w:val="0B1701D0"/>
    <w:rsid w:val="0B2C53F5"/>
    <w:rsid w:val="0BCF786E"/>
    <w:rsid w:val="0C141138"/>
    <w:rsid w:val="0CCA173A"/>
    <w:rsid w:val="0CCB3545"/>
    <w:rsid w:val="0CD56D9C"/>
    <w:rsid w:val="0DE46363"/>
    <w:rsid w:val="10F93FE9"/>
    <w:rsid w:val="1110038B"/>
    <w:rsid w:val="123C49C0"/>
    <w:rsid w:val="12555A81"/>
    <w:rsid w:val="12C14EC5"/>
    <w:rsid w:val="13A46379"/>
    <w:rsid w:val="13F13BCB"/>
    <w:rsid w:val="14517563"/>
    <w:rsid w:val="145558C5"/>
    <w:rsid w:val="14763F1F"/>
    <w:rsid w:val="15262A3E"/>
    <w:rsid w:val="15772442"/>
    <w:rsid w:val="15B10424"/>
    <w:rsid w:val="15D942D4"/>
    <w:rsid w:val="166A075C"/>
    <w:rsid w:val="174662BC"/>
    <w:rsid w:val="17674272"/>
    <w:rsid w:val="180B0355"/>
    <w:rsid w:val="186E164B"/>
    <w:rsid w:val="188A07E8"/>
    <w:rsid w:val="19441605"/>
    <w:rsid w:val="199F5196"/>
    <w:rsid w:val="19F1647C"/>
    <w:rsid w:val="1AE6371B"/>
    <w:rsid w:val="1BEE3761"/>
    <w:rsid w:val="1C7723C1"/>
    <w:rsid w:val="1D050D2B"/>
    <w:rsid w:val="1EFD1033"/>
    <w:rsid w:val="2058078D"/>
    <w:rsid w:val="206F54C4"/>
    <w:rsid w:val="2080575F"/>
    <w:rsid w:val="210F28B5"/>
    <w:rsid w:val="214949E0"/>
    <w:rsid w:val="220646A2"/>
    <w:rsid w:val="22746E93"/>
    <w:rsid w:val="23527823"/>
    <w:rsid w:val="2427509A"/>
    <w:rsid w:val="26492CDC"/>
    <w:rsid w:val="26665E8F"/>
    <w:rsid w:val="26690561"/>
    <w:rsid w:val="267C3185"/>
    <w:rsid w:val="291D7302"/>
    <w:rsid w:val="29BD1409"/>
    <w:rsid w:val="2A357DCE"/>
    <w:rsid w:val="2A7E571E"/>
    <w:rsid w:val="2ACF254B"/>
    <w:rsid w:val="2DC773DC"/>
    <w:rsid w:val="2E5D1AEE"/>
    <w:rsid w:val="2F683B53"/>
    <w:rsid w:val="2F963509"/>
    <w:rsid w:val="30EC2FBD"/>
    <w:rsid w:val="316E3FF9"/>
    <w:rsid w:val="31853836"/>
    <w:rsid w:val="31D33FCD"/>
    <w:rsid w:val="329D695D"/>
    <w:rsid w:val="33D8341D"/>
    <w:rsid w:val="34196CDB"/>
    <w:rsid w:val="36063A32"/>
    <w:rsid w:val="36912311"/>
    <w:rsid w:val="3726699B"/>
    <w:rsid w:val="38F6205C"/>
    <w:rsid w:val="3A3A7CD9"/>
    <w:rsid w:val="3B63753C"/>
    <w:rsid w:val="3BE3006B"/>
    <w:rsid w:val="3C601F53"/>
    <w:rsid w:val="3C86656E"/>
    <w:rsid w:val="3DA86637"/>
    <w:rsid w:val="3DBB3658"/>
    <w:rsid w:val="3E864749"/>
    <w:rsid w:val="3ED76D29"/>
    <w:rsid w:val="402266F3"/>
    <w:rsid w:val="408251CD"/>
    <w:rsid w:val="4090365D"/>
    <w:rsid w:val="40F63E08"/>
    <w:rsid w:val="42D91367"/>
    <w:rsid w:val="434626F9"/>
    <w:rsid w:val="43667DA2"/>
    <w:rsid w:val="442F5C92"/>
    <w:rsid w:val="445C4E37"/>
    <w:rsid w:val="44B21FB5"/>
    <w:rsid w:val="44B333B0"/>
    <w:rsid w:val="45046549"/>
    <w:rsid w:val="45493907"/>
    <w:rsid w:val="45E01979"/>
    <w:rsid w:val="45E30135"/>
    <w:rsid w:val="467F664E"/>
    <w:rsid w:val="4684380A"/>
    <w:rsid w:val="46BB5C1A"/>
    <w:rsid w:val="46DB614F"/>
    <w:rsid w:val="47705F96"/>
    <w:rsid w:val="47953C4F"/>
    <w:rsid w:val="47EF4992"/>
    <w:rsid w:val="47EF7803"/>
    <w:rsid w:val="491376DE"/>
    <w:rsid w:val="49177C78"/>
    <w:rsid w:val="49896CB2"/>
    <w:rsid w:val="4AAB008E"/>
    <w:rsid w:val="4AE051E1"/>
    <w:rsid w:val="4B537C1D"/>
    <w:rsid w:val="4BC5405E"/>
    <w:rsid w:val="4BE64A79"/>
    <w:rsid w:val="4D6C5694"/>
    <w:rsid w:val="4D97427D"/>
    <w:rsid w:val="4DA0266A"/>
    <w:rsid w:val="4E400EEF"/>
    <w:rsid w:val="4EB34558"/>
    <w:rsid w:val="518C0F90"/>
    <w:rsid w:val="52756B57"/>
    <w:rsid w:val="54EC75A4"/>
    <w:rsid w:val="55951476"/>
    <w:rsid w:val="55D9627B"/>
    <w:rsid w:val="55E31575"/>
    <w:rsid w:val="566E6F5B"/>
    <w:rsid w:val="57BB0C5B"/>
    <w:rsid w:val="59712A4B"/>
    <w:rsid w:val="599354C5"/>
    <w:rsid w:val="5A911C1F"/>
    <w:rsid w:val="5C3A6E47"/>
    <w:rsid w:val="5C966CAF"/>
    <w:rsid w:val="5D3046F0"/>
    <w:rsid w:val="5D7828E6"/>
    <w:rsid w:val="5F103627"/>
    <w:rsid w:val="5F1D429B"/>
    <w:rsid w:val="5FE72D5C"/>
    <w:rsid w:val="5FFA285E"/>
    <w:rsid w:val="608102DF"/>
    <w:rsid w:val="62AF7E63"/>
    <w:rsid w:val="62D43425"/>
    <w:rsid w:val="631D0F28"/>
    <w:rsid w:val="634513A4"/>
    <w:rsid w:val="638E77C6"/>
    <w:rsid w:val="645A0930"/>
    <w:rsid w:val="64A97270"/>
    <w:rsid w:val="65927733"/>
    <w:rsid w:val="663C5E35"/>
    <w:rsid w:val="674F2F0C"/>
    <w:rsid w:val="67A24F14"/>
    <w:rsid w:val="67A32996"/>
    <w:rsid w:val="68A33FC6"/>
    <w:rsid w:val="68E6033B"/>
    <w:rsid w:val="692B05A0"/>
    <w:rsid w:val="696E6382"/>
    <w:rsid w:val="69FC1BE0"/>
    <w:rsid w:val="6A5D47C1"/>
    <w:rsid w:val="6B347157"/>
    <w:rsid w:val="6C535248"/>
    <w:rsid w:val="6CBB4F66"/>
    <w:rsid w:val="6D605FE2"/>
    <w:rsid w:val="6DD67943"/>
    <w:rsid w:val="6DF645F4"/>
    <w:rsid w:val="6EC10D02"/>
    <w:rsid w:val="6F0931B7"/>
    <w:rsid w:val="6F3F3887"/>
    <w:rsid w:val="6FD42FE4"/>
    <w:rsid w:val="704B49CB"/>
    <w:rsid w:val="705D27E4"/>
    <w:rsid w:val="707F0E75"/>
    <w:rsid w:val="710610AB"/>
    <w:rsid w:val="71A06E06"/>
    <w:rsid w:val="71E371E1"/>
    <w:rsid w:val="72981EBD"/>
    <w:rsid w:val="735141ED"/>
    <w:rsid w:val="7443040B"/>
    <w:rsid w:val="765D33A0"/>
    <w:rsid w:val="77004391"/>
    <w:rsid w:val="776442F1"/>
    <w:rsid w:val="77A22AD1"/>
    <w:rsid w:val="786F69A2"/>
    <w:rsid w:val="789D1A6F"/>
    <w:rsid w:val="79927E6B"/>
    <w:rsid w:val="79A02597"/>
    <w:rsid w:val="7B100075"/>
    <w:rsid w:val="7C8548D8"/>
    <w:rsid w:val="7CF14EA8"/>
    <w:rsid w:val="7D234173"/>
    <w:rsid w:val="7E1352F2"/>
    <w:rsid w:val="7E4200B1"/>
    <w:rsid w:val="7E9C1A45"/>
    <w:rsid w:val="7F89586C"/>
    <w:rsid w:val="7F93675A"/>
    <w:rsid w:val="7FCD343C"/>
    <w:rsid w:val="8377E7A1"/>
    <w:rsid w:val="9EFBD4A7"/>
    <w:rsid w:val="FEDB8CC2"/>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6"/>
    <w:semiHidden/>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semiHidden/>
    <w:unhideWhenUsed/>
    <w:qFormat/>
    <w:uiPriority w:val="9"/>
    <w:pPr>
      <w:spacing w:beforeAutospacing="1" w:afterAutospacing="1"/>
      <w:jc w:val="left"/>
      <w:outlineLvl w:val="2"/>
    </w:pPr>
    <w:rPr>
      <w:rFonts w:hint="eastAsia" w:ascii="宋体" w:hAnsi="宋体" w:eastAsia="宋体" w:cs="Times New Roman"/>
      <w:b/>
      <w:bCs/>
      <w:kern w:val="0"/>
      <w:sz w:val="27"/>
      <w:szCs w:val="27"/>
    </w:rPr>
  </w:style>
  <w:style w:type="paragraph" w:styleId="5">
    <w:name w:val="heading 6"/>
    <w:basedOn w:val="1"/>
    <w:next w:val="1"/>
    <w:link w:val="16"/>
    <w:semiHidden/>
    <w:unhideWhenUsed/>
    <w:qFormat/>
    <w:uiPriority w:val="0"/>
    <w:pPr>
      <w:keepNext/>
      <w:keepLines/>
      <w:numPr>
        <w:ilvl w:val="5"/>
        <w:numId w:val="1"/>
      </w:numPr>
      <w:tabs>
        <w:tab w:val="left" w:pos="0"/>
      </w:tabs>
      <w:adjustRightInd w:val="0"/>
      <w:snapToGrid w:val="0"/>
      <w:spacing w:line="317" w:lineRule="auto"/>
      <w:jc w:val="left"/>
      <w:outlineLvl w:val="5"/>
    </w:pPr>
    <w:rPr>
      <w:rFonts w:ascii="Arial" w:hAnsi="Arial" w:eastAsia="黑体"/>
      <w:b/>
      <w:sz w:val="24"/>
      <w:szCs w:val="24"/>
    </w:rPr>
  </w:style>
  <w:style w:type="paragraph" w:styleId="6">
    <w:name w:val="heading 7"/>
    <w:basedOn w:val="1"/>
    <w:next w:val="1"/>
    <w:link w:val="17"/>
    <w:semiHidden/>
    <w:unhideWhenUsed/>
    <w:qFormat/>
    <w:uiPriority w:val="0"/>
    <w:pPr>
      <w:keepNext/>
      <w:keepLines/>
      <w:numPr>
        <w:ilvl w:val="6"/>
        <w:numId w:val="1"/>
      </w:numPr>
      <w:tabs>
        <w:tab w:val="left" w:pos="0"/>
      </w:tabs>
      <w:adjustRightInd w:val="0"/>
      <w:snapToGrid w:val="0"/>
      <w:spacing w:line="317" w:lineRule="auto"/>
      <w:jc w:val="left"/>
      <w:outlineLvl w:val="6"/>
    </w:pPr>
    <w:rPr>
      <w:rFonts w:ascii="宋体" w:hAnsi="宋体" w:eastAsia="宋体"/>
      <w:b/>
      <w:sz w:val="24"/>
      <w:szCs w:val="24"/>
    </w:rPr>
  </w:style>
  <w:style w:type="paragraph" w:styleId="7">
    <w:name w:val="heading 8"/>
    <w:basedOn w:val="1"/>
    <w:next w:val="1"/>
    <w:link w:val="18"/>
    <w:semiHidden/>
    <w:unhideWhenUsed/>
    <w:qFormat/>
    <w:uiPriority w:val="0"/>
    <w:pPr>
      <w:keepNext/>
      <w:keepLines/>
      <w:numPr>
        <w:ilvl w:val="7"/>
        <w:numId w:val="1"/>
      </w:numPr>
      <w:tabs>
        <w:tab w:val="left" w:pos="0"/>
      </w:tabs>
      <w:adjustRightInd w:val="0"/>
      <w:snapToGrid w:val="0"/>
      <w:spacing w:line="317" w:lineRule="auto"/>
      <w:jc w:val="left"/>
      <w:outlineLvl w:val="7"/>
    </w:pPr>
    <w:rPr>
      <w:rFonts w:ascii="Arial" w:hAnsi="Arial" w:eastAsia="黑体"/>
      <w:sz w:val="24"/>
      <w:szCs w:val="24"/>
    </w:rPr>
  </w:style>
  <w:style w:type="paragraph" w:styleId="8">
    <w:name w:val="heading 9"/>
    <w:basedOn w:val="1"/>
    <w:next w:val="1"/>
    <w:link w:val="19"/>
    <w:semiHidden/>
    <w:unhideWhenUsed/>
    <w:qFormat/>
    <w:uiPriority w:val="0"/>
    <w:pPr>
      <w:keepNext/>
      <w:keepLines/>
      <w:numPr>
        <w:ilvl w:val="8"/>
        <w:numId w:val="1"/>
      </w:numPr>
      <w:tabs>
        <w:tab w:val="left" w:pos="0"/>
      </w:tabs>
      <w:adjustRightInd w:val="0"/>
      <w:snapToGrid w:val="0"/>
      <w:spacing w:line="317" w:lineRule="auto"/>
      <w:jc w:val="left"/>
      <w:outlineLvl w:val="8"/>
    </w:pPr>
    <w:rPr>
      <w:rFonts w:ascii="Arial" w:hAnsi="Arial" w:eastAsia="黑体"/>
      <w:szCs w:val="24"/>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9">
    <w:name w:val="Body Text"/>
    <w:basedOn w:val="1"/>
    <w:next w:val="1"/>
    <w:unhideWhenUsed/>
    <w:qFormat/>
    <w:uiPriority w:val="0"/>
    <w:pPr>
      <w:spacing w:after="120"/>
    </w:pPr>
  </w:style>
  <w:style w:type="paragraph" w:styleId="10">
    <w:name w:val="footer"/>
    <w:basedOn w:val="1"/>
    <w:unhideWhenUsed/>
    <w:qFormat/>
    <w:uiPriority w:val="99"/>
    <w:pPr>
      <w:tabs>
        <w:tab w:val="center" w:pos="4153"/>
        <w:tab w:val="right" w:pos="8306"/>
      </w:tabs>
      <w:snapToGrid w:val="0"/>
      <w:jc w:val="left"/>
    </w:pPr>
    <w:rPr>
      <w:sz w:val="18"/>
    </w:rPr>
  </w:style>
  <w:style w:type="paragraph" w:styleId="11">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13">
    <w:name w:val="Table Grid"/>
    <w:basedOn w:val="12"/>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22"/>
    <w:rPr>
      <w:b/>
    </w:rPr>
  </w:style>
  <w:style w:type="character" w:customStyle="1" w:styleId="16">
    <w:name w:val="标题 6 字符"/>
    <w:basedOn w:val="14"/>
    <w:link w:val="5"/>
    <w:semiHidden/>
    <w:qFormat/>
    <w:uiPriority w:val="0"/>
    <w:rPr>
      <w:rFonts w:ascii="Arial" w:hAnsi="Arial" w:eastAsia="黑体"/>
      <w:b/>
      <w:sz w:val="24"/>
      <w:szCs w:val="24"/>
    </w:rPr>
  </w:style>
  <w:style w:type="character" w:customStyle="1" w:styleId="17">
    <w:name w:val="标题 7 字符"/>
    <w:basedOn w:val="14"/>
    <w:link w:val="6"/>
    <w:semiHidden/>
    <w:qFormat/>
    <w:uiPriority w:val="0"/>
    <w:rPr>
      <w:rFonts w:ascii="宋体" w:hAnsi="宋体" w:eastAsia="宋体"/>
      <w:b/>
      <w:sz w:val="24"/>
      <w:szCs w:val="24"/>
    </w:rPr>
  </w:style>
  <w:style w:type="character" w:customStyle="1" w:styleId="18">
    <w:name w:val="标题 8 字符"/>
    <w:basedOn w:val="14"/>
    <w:link w:val="7"/>
    <w:semiHidden/>
    <w:qFormat/>
    <w:uiPriority w:val="0"/>
    <w:rPr>
      <w:rFonts w:ascii="Arial" w:hAnsi="Arial" w:eastAsia="黑体"/>
      <w:sz w:val="24"/>
      <w:szCs w:val="24"/>
    </w:rPr>
  </w:style>
  <w:style w:type="character" w:customStyle="1" w:styleId="19">
    <w:name w:val="标题 9 字符"/>
    <w:basedOn w:val="14"/>
    <w:link w:val="8"/>
    <w:semiHidden/>
    <w:qFormat/>
    <w:uiPriority w:val="0"/>
    <w:rPr>
      <w:rFonts w:ascii="Arial" w:hAnsi="Arial" w:eastAsia="黑体"/>
      <w:szCs w:val="24"/>
    </w:rPr>
  </w:style>
  <w:style w:type="paragraph" w:customStyle="1" w:styleId="20">
    <w:name w:val="05、“(一)”正文三级标题"/>
    <w:basedOn w:val="1"/>
    <w:qFormat/>
    <w:uiPriority w:val="0"/>
    <w:pPr>
      <w:numPr>
        <w:ilvl w:val="1"/>
        <w:numId w:val="1"/>
      </w:numPr>
      <w:tabs>
        <w:tab w:val="left" w:pos="0"/>
      </w:tabs>
      <w:wordWrap w:val="0"/>
      <w:topLinePunct/>
      <w:adjustRightInd w:val="0"/>
      <w:snapToGrid w:val="0"/>
      <w:spacing w:line="440" w:lineRule="exact"/>
      <w:jc w:val="left"/>
    </w:pPr>
    <w:rPr>
      <w:rFonts w:ascii="宋体" w:hAnsi="宋体" w:eastAsia="宋体"/>
      <w:sz w:val="24"/>
      <w:szCs w:val="24"/>
    </w:rPr>
  </w:style>
  <w:style w:type="paragraph" w:customStyle="1" w:styleId="21">
    <w:name w:val="15、“一、”二级标题"/>
    <w:basedOn w:val="1"/>
    <w:qFormat/>
    <w:uiPriority w:val="0"/>
    <w:pPr>
      <w:numPr>
        <w:ilvl w:val="1"/>
        <w:numId w:val="2"/>
      </w:numPr>
      <w:tabs>
        <w:tab w:val="left" w:pos="0"/>
      </w:tabs>
      <w:wordWrap w:val="0"/>
      <w:topLinePunct/>
      <w:adjustRightInd w:val="0"/>
      <w:snapToGrid w:val="0"/>
      <w:spacing w:line="440" w:lineRule="exact"/>
      <w:jc w:val="left"/>
      <w:outlineLvl w:val="1"/>
    </w:pPr>
    <w:rPr>
      <w:rFonts w:ascii="宋体" w:hAnsi="宋体" w:eastAsia="宋体"/>
      <w:b/>
      <w:sz w:val="24"/>
      <w:szCs w:val="24"/>
    </w:rPr>
  </w:style>
  <w:style w:type="paragraph" w:customStyle="1" w:styleId="22">
    <w:name w:val="06、“1.”正文四级标题"/>
    <w:basedOn w:val="1"/>
    <w:link w:val="32"/>
    <w:qFormat/>
    <w:uiPriority w:val="0"/>
    <w:pPr>
      <w:numPr>
        <w:ilvl w:val="2"/>
        <w:numId w:val="1"/>
      </w:numPr>
      <w:tabs>
        <w:tab w:val="left" w:pos="0"/>
      </w:tabs>
      <w:wordWrap w:val="0"/>
      <w:topLinePunct/>
      <w:adjustRightInd w:val="0"/>
      <w:snapToGrid w:val="0"/>
      <w:spacing w:line="440" w:lineRule="exact"/>
      <w:jc w:val="left"/>
    </w:pPr>
    <w:rPr>
      <w:rFonts w:ascii="宋体" w:hAnsi="宋体" w:eastAsia="宋体"/>
      <w:snapToGrid w:val="0"/>
      <w:sz w:val="24"/>
      <w:szCs w:val="24"/>
    </w:rPr>
  </w:style>
  <w:style w:type="paragraph" w:customStyle="1" w:styleId="23">
    <w:name w:val="07、“1.1”正文五级标题"/>
    <w:basedOn w:val="1"/>
    <w:qFormat/>
    <w:uiPriority w:val="0"/>
    <w:pPr>
      <w:numPr>
        <w:ilvl w:val="3"/>
        <w:numId w:val="1"/>
      </w:numPr>
      <w:tabs>
        <w:tab w:val="left" w:pos="0"/>
      </w:tabs>
      <w:adjustRightInd w:val="0"/>
      <w:snapToGrid w:val="0"/>
      <w:spacing w:line="440" w:lineRule="exact"/>
      <w:jc w:val="left"/>
    </w:pPr>
    <w:rPr>
      <w:rFonts w:ascii="宋体" w:hAnsi="宋体" w:eastAsia="宋体"/>
      <w:sz w:val="24"/>
      <w:szCs w:val="24"/>
    </w:rPr>
  </w:style>
  <w:style w:type="paragraph" w:customStyle="1" w:styleId="24">
    <w:name w:val="08、“(1)”正文六级标题"/>
    <w:basedOn w:val="1"/>
    <w:qFormat/>
    <w:uiPriority w:val="0"/>
    <w:pPr>
      <w:numPr>
        <w:ilvl w:val="4"/>
        <w:numId w:val="1"/>
      </w:numPr>
      <w:tabs>
        <w:tab w:val="left" w:pos="0"/>
      </w:tabs>
      <w:adjustRightInd w:val="0"/>
      <w:snapToGrid w:val="0"/>
      <w:spacing w:line="440" w:lineRule="exact"/>
      <w:jc w:val="left"/>
    </w:pPr>
    <w:rPr>
      <w:rFonts w:ascii="宋体" w:hAnsi="宋体" w:eastAsia="宋体"/>
      <w:snapToGrid w:val="0"/>
      <w:sz w:val="24"/>
      <w:szCs w:val="24"/>
    </w:rPr>
  </w:style>
  <w:style w:type="paragraph" w:customStyle="1" w:styleId="25">
    <w:name w:val="02、首行缩进2字符正文"/>
    <w:basedOn w:val="1"/>
    <w:link w:val="30"/>
    <w:qFormat/>
    <w:uiPriority w:val="0"/>
    <w:pPr>
      <w:tabs>
        <w:tab w:val="left" w:pos="0"/>
      </w:tabs>
      <w:wordWrap w:val="0"/>
      <w:topLinePunct/>
      <w:adjustRightInd w:val="0"/>
      <w:snapToGrid w:val="0"/>
      <w:spacing w:line="440" w:lineRule="exact"/>
      <w:ind w:firstLine="480" w:firstLineChars="200"/>
      <w:jc w:val="left"/>
    </w:pPr>
    <w:rPr>
      <w:rFonts w:ascii="宋体" w:hAnsi="宋体" w:eastAsia="宋体"/>
      <w:sz w:val="24"/>
      <w:szCs w:val="24"/>
    </w:rPr>
  </w:style>
  <w:style w:type="paragraph" w:customStyle="1" w:styleId="26">
    <w:name w:val="03、“注：”正文(加粗，首行缩进2字符)"/>
    <w:basedOn w:val="1"/>
    <w:link w:val="31"/>
    <w:qFormat/>
    <w:uiPriority w:val="0"/>
    <w:pPr>
      <w:tabs>
        <w:tab w:val="left" w:pos="0"/>
      </w:tabs>
      <w:wordWrap w:val="0"/>
      <w:topLinePunct/>
      <w:adjustRightInd w:val="0"/>
      <w:snapToGrid w:val="0"/>
      <w:spacing w:line="440" w:lineRule="exact"/>
      <w:ind w:firstLine="480" w:firstLineChars="200"/>
      <w:jc w:val="left"/>
    </w:pPr>
    <w:rPr>
      <w:rFonts w:ascii="宋体" w:hAnsi="宋体" w:eastAsia="宋体"/>
      <w:b/>
      <w:snapToGrid w:val="0"/>
      <w:sz w:val="24"/>
      <w:szCs w:val="24"/>
    </w:rPr>
  </w:style>
  <w:style w:type="paragraph" w:customStyle="1" w:styleId="27">
    <w:name w:val="14、“第一章”一级标题"/>
    <w:basedOn w:val="1"/>
    <w:qFormat/>
    <w:uiPriority w:val="0"/>
    <w:pPr>
      <w:numPr>
        <w:ilvl w:val="0"/>
        <w:numId w:val="2"/>
      </w:numPr>
      <w:wordWrap w:val="0"/>
      <w:topLinePunct/>
      <w:adjustRightInd w:val="0"/>
      <w:snapToGrid w:val="0"/>
      <w:spacing w:beforeLines="50" w:afterLines="50"/>
      <w:jc w:val="center"/>
      <w:outlineLvl w:val="0"/>
    </w:pPr>
    <w:rPr>
      <w:rFonts w:ascii="宋体" w:hAnsi="宋体" w:eastAsia="宋体"/>
      <w:b/>
      <w:snapToGrid w:val="0"/>
      <w:sz w:val="36"/>
      <w:szCs w:val="24"/>
    </w:rPr>
  </w:style>
  <w:style w:type="paragraph" w:customStyle="1" w:styleId="28">
    <w:name w:val="16、“(一)”三级标题"/>
    <w:basedOn w:val="1"/>
    <w:link w:val="29"/>
    <w:qFormat/>
    <w:uiPriority w:val="0"/>
    <w:pPr>
      <w:numPr>
        <w:ilvl w:val="2"/>
        <w:numId w:val="2"/>
      </w:numPr>
      <w:wordWrap w:val="0"/>
      <w:topLinePunct/>
      <w:adjustRightInd w:val="0"/>
      <w:snapToGrid w:val="0"/>
      <w:spacing w:line="440" w:lineRule="exact"/>
      <w:ind w:firstLine="803" w:firstLineChars="200"/>
      <w:jc w:val="left"/>
      <w:outlineLvl w:val="2"/>
    </w:pPr>
    <w:rPr>
      <w:rFonts w:ascii="宋体" w:hAnsi="宋体" w:eastAsia="宋体"/>
      <w:b/>
      <w:snapToGrid w:val="0"/>
      <w:sz w:val="24"/>
      <w:szCs w:val="24"/>
    </w:rPr>
  </w:style>
  <w:style w:type="character" w:customStyle="1" w:styleId="29">
    <w:name w:val="16、“(一)”三级标题 Char"/>
    <w:link w:val="28"/>
    <w:qFormat/>
    <w:uiPriority w:val="0"/>
    <w:rPr>
      <w:rFonts w:ascii="宋体" w:hAnsi="宋体" w:eastAsia="宋体"/>
      <w:b/>
      <w:snapToGrid w:val="0"/>
      <w:sz w:val="24"/>
      <w:szCs w:val="24"/>
    </w:rPr>
  </w:style>
  <w:style w:type="character" w:customStyle="1" w:styleId="30">
    <w:name w:val="02、首行缩进2字符正文 Char"/>
    <w:link w:val="25"/>
    <w:qFormat/>
    <w:uiPriority w:val="0"/>
    <w:rPr>
      <w:rFonts w:ascii="宋体" w:hAnsi="宋体" w:eastAsia="宋体"/>
      <w:sz w:val="24"/>
      <w:szCs w:val="24"/>
    </w:rPr>
  </w:style>
  <w:style w:type="character" w:customStyle="1" w:styleId="31">
    <w:name w:val="03、“注：”正文(加粗，首行缩进2字符) Char"/>
    <w:link w:val="26"/>
    <w:qFormat/>
    <w:uiPriority w:val="0"/>
    <w:rPr>
      <w:rFonts w:ascii="宋体" w:hAnsi="宋体" w:eastAsia="宋体"/>
      <w:b/>
      <w:snapToGrid w:val="0"/>
      <w:sz w:val="24"/>
      <w:szCs w:val="24"/>
    </w:rPr>
  </w:style>
  <w:style w:type="character" w:customStyle="1" w:styleId="32">
    <w:name w:val="06、“1.”正文四级标题 Char"/>
    <w:link w:val="22"/>
    <w:qFormat/>
    <w:uiPriority w:val="0"/>
    <w:rPr>
      <w:rFonts w:ascii="宋体" w:hAnsi="宋体" w:eastAsia="宋体"/>
      <w:snapToGrid w:val="0"/>
      <w:sz w:val="24"/>
      <w:szCs w:val="24"/>
    </w:rPr>
  </w:style>
  <w:style w:type="paragraph" w:customStyle="1" w:styleId="33">
    <w:name w:val="17“1.”四级标题"/>
    <w:basedOn w:val="25"/>
    <w:qFormat/>
    <w:uiPriority w:val="0"/>
    <w:pPr>
      <w:numPr>
        <w:ilvl w:val="3"/>
        <w:numId w:val="2"/>
      </w:numPr>
      <w:tabs>
        <w:tab w:val="left" w:pos="360"/>
      </w:tabs>
      <w:ind w:firstLine="803"/>
    </w:pPr>
  </w:style>
  <w:style w:type="paragraph" w:customStyle="1" w:styleId="34">
    <w:name w:val="18、“1.1”五级标题"/>
    <w:basedOn w:val="33"/>
    <w:qFormat/>
    <w:uiPriority w:val="0"/>
    <w:pPr>
      <w:numPr>
        <w:ilvl w:val="4"/>
      </w:numPr>
      <w:ind w:firstLine="803"/>
    </w:pPr>
  </w:style>
  <w:style w:type="paragraph" w:customStyle="1" w:styleId="35">
    <w:name w:val="19、“(1)”六级标题"/>
    <w:basedOn w:val="33"/>
    <w:qFormat/>
    <w:uiPriority w:val="0"/>
    <w:pPr>
      <w:numPr>
        <w:ilvl w:val="5"/>
      </w:numPr>
      <w:ind w:firstLine="803"/>
    </w:pPr>
  </w:style>
  <w:style w:type="character" w:customStyle="1" w:styleId="36">
    <w:name w:val="标题 2 字符"/>
    <w:basedOn w:val="14"/>
    <w:link w:val="3"/>
    <w:semiHidden/>
    <w:qFormat/>
    <w:uiPriority w:val="9"/>
    <w:rPr>
      <w:rFonts w:asciiTheme="majorHAnsi" w:hAnsiTheme="majorHAnsi" w:eastAsiaTheme="majorEastAsia" w:cstheme="majorBidi"/>
      <w:b/>
      <w:bCs/>
      <w:kern w:val="2"/>
      <w:sz w:val="32"/>
      <w:szCs w:val="32"/>
    </w:rPr>
  </w:style>
  <w:style w:type="character" w:customStyle="1" w:styleId="37">
    <w:name w:val="标题 1 字符"/>
    <w:basedOn w:val="14"/>
    <w:link w:val="2"/>
    <w:qFormat/>
    <w:uiPriority w:val="9"/>
    <w:rPr>
      <w:b/>
      <w:bCs/>
      <w:kern w:val="44"/>
      <w:sz w:val="44"/>
      <w:szCs w:val="44"/>
    </w:rPr>
  </w:style>
  <w:style w:type="paragraph" w:customStyle="1" w:styleId="38">
    <w:name w:val="6 正文"/>
    <w:basedOn w:val="1"/>
    <w:qFormat/>
    <w:uiPriority w:val="0"/>
    <w:pPr>
      <w:spacing w:line="360" w:lineRule="auto"/>
      <w:ind w:firstLine="463" w:firstLineChars="200"/>
    </w:pPr>
    <w:rPr>
      <w:rFonts w:ascii="仿宋" w:hAnsi="华文仿宋" w:eastAsia="仿宋" w:cs="华文宋体"/>
      <w:sz w:val="28"/>
      <w:szCs w:val="24"/>
    </w:rPr>
  </w:style>
  <w:style w:type="paragraph" w:customStyle="1" w:styleId="39">
    <w:name w:val="标题2"/>
    <w:basedOn w:val="2"/>
    <w:qFormat/>
    <w:uiPriority w:val="0"/>
    <w:pPr>
      <w:numPr>
        <w:ilvl w:val="1"/>
        <w:numId w:val="3"/>
      </w:numPr>
      <w:tabs>
        <w:tab w:val="left" w:pos="567"/>
      </w:tabs>
    </w:pPr>
    <w:rPr>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DoubleOX</Company>
  <Pages>1</Pages>
  <Words>2576</Words>
  <Characters>14686</Characters>
  <Lines>122</Lines>
  <Paragraphs>34</Paragraphs>
  <TotalTime>6</TotalTime>
  <ScaleCrop>false</ScaleCrop>
  <LinksUpToDate>false</LinksUpToDate>
  <CharactersWithSpaces>17228</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2025-08-13T02:55:00Z</dcterms:created>
  <dc:creator>ZZ</dc:creator>
  <cp:lastModifiedBy>Administrator</cp:lastModifiedBy>
  <cp:lastPrinted>2025-08-15T06:15:00Z</cp:lastPrinted>
  <dcterms:modified xsi:type="dcterms:W3CDTF">2025-12-25T12:34:48Z</dcterms:modified>
  <cp:revision>39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KSOTemplateDocerSaveRecord">
    <vt:lpwstr>eyJoZGlkIjoiMjcxNjYwOGYzYTRlMDk5NDQzYTBlZjkzMjRjOGMwNDQiLCJ1c2VySWQiOiI3ODY2NDM2ODcifQ==</vt:lpwstr>
  </property>
  <property fmtid="{D5CDD505-2E9C-101B-9397-08002B2CF9AE}" pid="4" name="ICV">
    <vt:lpwstr>2D00B90311BF41F595D768655C7326DC_12</vt:lpwstr>
  </property>
</Properties>
</file>